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F03" w:rsidRPr="00880D6E" w:rsidRDefault="00706F03" w:rsidP="00706F03">
      <w:pPr>
        <w:jc w:val="right"/>
        <w:rPr>
          <w:rFonts w:hAnsi="Times New Roman" w:cs="Times New Roman"/>
          <w:color w:val="000000"/>
          <w:sz w:val="24"/>
          <w:szCs w:val="24"/>
        </w:rPr>
      </w:pPr>
      <w:bookmarkStart w:id="0" w:name="_GoBack"/>
      <w:bookmarkEnd w:id="0"/>
      <w:r w:rsidRPr="00880D6E">
        <w:rPr>
          <w:rFonts w:hAnsi="Times New Roman" w:cs="Times New Roman"/>
          <w:color w:val="000000"/>
          <w:sz w:val="24"/>
          <w:szCs w:val="24"/>
        </w:rPr>
        <w:t>Приложение</w:t>
      </w:r>
      <w:r w:rsidRPr="00880D6E">
        <w:rPr>
          <w:rFonts w:hAnsi="Times New Roman" w:cs="Times New Roman"/>
          <w:color w:val="000000"/>
          <w:sz w:val="24"/>
          <w:szCs w:val="24"/>
        </w:rPr>
        <w:t xml:space="preserve"> </w:t>
      </w:r>
      <w:r>
        <w:rPr>
          <w:rFonts w:hAnsi="Times New Roman" w:cs="Times New Roman"/>
          <w:color w:val="000000"/>
          <w:sz w:val="24"/>
          <w:szCs w:val="24"/>
        </w:rPr>
        <w:t>2</w:t>
      </w:r>
      <w:r w:rsidRPr="00880D6E">
        <w:br/>
      </w:r>
      <w:r w:rsidRPr="00880D6E">
        <w:rPr>
          <w:rFonts w:hAnsi="Times New Roman" w:cs="Times New Roman"/>
          <w:color w:val="000000"/>
          <w:sz w:val="24"/>
          <w:szCs w:val="24"/>
        </w:rPr>
        <w:t>к</w:t>
      </w:r>
      <w:r>
        <w:rPr>
          <w:rFonts w:hAnsi="Times New Roman" w:cs="Times New Roman"/>
          <w:color w:val="000000"/>
          <w:sz w:val="24"/>
          <w:szCs w:val="24"/>
        </w:rPr>
        <w:t> постановлению</w:t>
      </w:r>
      <w:r w:rsidRPr="00880D6E">
        <w:rPr>
          <w:rFonts w:hAnsi="Times New Roman" w:cs="Times New Roman"/>
          <w:color w:val="000000"/>
          <w:sz w:val="24"/>
          <w:szCs w:val="24"/>
        </w:rPr>
        <w:t xml:space="preserve"> </w:t>
      </w:r>
      <w:r w:rsidRPr="00880D6E">
        <w:rPr>
          <w:rFonts w:hAnsi="Times New Roman" w:cs="Times New Roman"/>
          <w:color w:val="000000"/>
          <w:sz w:val="24"/>
          <w:szCs w:val="24"/>
        </w:rPr>
        <w:t>от</w:t>
      </w:r>
      <w:r w:rsidRPr="00880D6E">
        <w:rPr>
          <w:rFonts w:hAnsi="Times New Roman" w:cs="Times New Roman"/>
          <w:color w:val="000000"/>
          <w:sz w:val="24"/>
          <w:szCs w:val="24"/>
        </w:rPr>
        <w:t xml:space="preserve"> 2</w:t>
      </w:r>
      <w:r>
        <w:rPr>
          <w:rFonts w:hAnsi="Times New Roman" w:cs="Times New Roman"/>
          <w:color w:val="000000"/>
          <w:sz w:val="24"/>
          <w:szCs w:val="24"/>
        </w:rPr>
        <w:t>0.06</w:t>
      </w:r>
      <w:r w:rsidRPr="00880D6E">
        <w:rPr>
          <w:rFonts w:hAnsi="Times New Roman" w:cs="Times New Roman"/>
          <w:color w:val="000000"/>
          <w:sz w:val="24"/>
          <w:szCs w:val="24"/>
        </w:rPr>
        <w:t>.202</w:t>
      </w:r>
      <w:r>
        <w:rPr>
          <w:rFonts w:hAnsi="Times New Roman" w:cs="Times New Roman"/>
          <w:color w:val="000000"/>
          <w:sz w:val="24"/>
          <w:szCs w:val="24"/>
        </w:rPr>
        <w:t>4</w:t>
      </w:r>
      <w:r w:rsidRPr="00880D6E">
        <w:rPr>
          <w:rFonts w:hAnsi="Times New Roman" w:cs="Times New Roman"/>
          <w:color w:val="000000"/>
          <w:sz w:val="24"/>
          <w:szCs w:val="24"/>
        </w:rPr>
        <w:t xml:space="preserve"> </w:t>
      </w:r>
      <w:r w:rsidRPr="00880D6E">
        <w:rPr>
          <w:rFonts w:hAnsi="Times New Roman" w:cs="Times New Roman"/>
          <w:color w:val="000000"/>
          <w:sz w:val="24"/>
          <w:szCs w:val="24"/>
        </w:rPr>
        <w:t>№</w:t>
      </w:r>
      <w:r w:rsidRPr="00880D6E">
        <w:rPr>
          <w:rFonts w:hAnsi="Times New Roman" w:cs="Times New Roman"/>
          <w:color w:val="000000"/>
          <w:sz w:val="24"/>
          <w:szCs w:val="24"/>
        </w:rPr>
        <w:t xml:space="preserve"> </w:t>
      </w:r>
      <w:r>
        <w:rPr>
          <w:rFonts w:hAnsi="Times New Roman" w:cs="Times New Roman"/>
          <w:color w:val="000000"/>
          <w:sz w:val="24"/>
          <w:szCs w:val="24"/>
        </w:rPr>
        <w:t>357-</w:t>
      </w:r>
      <w:r>
        <w:rPr>
          <w:rFonts w:hAnsi="Times New Roman" w:cs="Times New Roman"/>
          <w:color w:val="000000"/>
          <w:sz w:val="24"/>
          <w:szCs w:val="24"/>
        </w:rPr>
        <w:t>п</w:t>
      </w:r>
    </w:p>
    <w:p w:rsidR="00706F03" w:rsidRPr="00706F03" w:rsidRDefault="00706F03" w:rsidP="00706F03">
      <w:pPr>
        <w:spacing w:before="100" w:beforeAutospacing="1" w:after="100" w:afterAutospacing="1" w:line="240" w:lineRule="auto"/>
        <w:jc w:val="right"/>
        <w:outlineLvl w:val="1"/>
        <w:rPr>
          <w:rFonts w:ascii="Times New Roman" w:eastAsia="Times New Roman" w:hAnsi="Times New Roman" w:cs="Times New Roman"/>
          <w:b/>
          <w:bCs/>
          <w:sz w:val="28"/>
          <w:szCs w:val="28"/>
        </w:rPr>
      </w:pPr>
    </w:p>
    <w:p w:rsidR="00706F03" w:rsidRPr="00706F03" w:rsidRDefault="00706F03" w:rsidP="00706F03">
      <w:pPr>
        <w:spacing w:before="100" w:beforeAutospacing="1" w:after="100" w:afterAutospacing="1" w:line="240" w:lineRule="auto"/>
        <w:jc w:val="center"/>
        <w:outlineLvl w:val="1"/>
        <w:rPr>
          <w:rFonts w:ascii="Times New Roman" w:eastAsia="Times New Roman" w:hAnsi="Times New Roman" w:cs="Times New Roman"/>
          <w:bCs/>
          <w:sz w:val="28"/>
          <w:szCs w:val="28"/>
        </w:rPr>
      </w:pPr>
      <w:r w:rsidRPr="00706F03">
        <w:rPr>
          <w:rFonts w:ascii="Times New Roman" w:eastAsia="Times New Roman" w:hAnsi="Times New Roman" w:cs="Times New Roman"/>
          <w:bCs/>
          <w:sz w:val="28"/>
          <w:szCs w:val="28"/>
        </w:rPr>
        <w:t>ГРАФИК ДОКУМЕНТООБОРОТА И ПРАВИЛА ДОКУМЕНТООБОРОТА</w:t>
      </w:r>
    </w:p>
    <w:p w:rsidR="00706F03" w:rsidRPr="00706F03" w:rsidRDefault="00706F03" w:rsidP="00706F03">
      <w:pPr>
        <w:spacing w:before="100" w:beforeAutospacing="1" w:after="100" w:afterAutospacing="1" w:line="240" w:lineRule="auto"/>
        <w:jc w:val="center"/>
        <w:outlineLvl w:val="2"/>
        <w:rPr>
          <w:rFonts w:ascii="Times New Roman" w:eastAsia="Times New Roman" w:hAnsi="Times New Roman" w:cs="Times New Roman"/>
          <w:b/>
          <w:bCs/>
          <w:sz w:val="27"/>
          <w:szCs w:val="27"/>
        </w:rPr>
      </w:pPr>
      <w:bookmarkStart w:id="1" w:name="h333"/>
      <w:bookmarkEnd w:id="1"/>
      <w:r w:rsidRPr="00706F03">
        <w:rPr>
          <w:rFonts w:ascii="Times New Roman" w:eastAsia="Times New Roman" w:hAnsi="Times New Roman" w:cs="Times New Roman"/>
          <w:b/>
          <w:bCs/>
          <w:sz w:val="27"/>
          <w:szCs w:val="27"/>
        </w:rPr>
        <w:t>I. Общие положения</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1. Настоящие общие требования устанавливаются в целях обеспечения единства системы требований к организации ведения бухгалтерского учета в части определения в рамках учетной политики графика документооборота, правил документооборота, включающих порядок, технологии и сроки составления, передачи (представления) для отражения в бухгалтерском учете первичных (сводных) учетных документов в соответствии с утвержденным графиком документооборота и (или) порядок взаимодействия структурных подразделений и (или) лиц, ответственных за оформление фактов хозяйственной жизни, при передаче (представлении) для ведения бухгалтерского учета первичных учетных (сводных) документов.</w:t>
      </w:r>
      <w:bookmarkStart w:id="2" w:name="l206"/>
      <w:bookmarkEnd w:id="2"/>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2. Под документами бухгалтерского учета в целях настоящих общих требований понимаются первичные учетные документы, регистры бухгалтерского учета, бухгалтерская (финансовая) отчетность (включая документы, оформляющие информацию, отражаемую в составе пояснительной записки, представляемой в составе бухгалтерской (финансовой) отчетности), а также документы, сформированные в целях представления отраженных в регистрах бухгалтерского учета данных об объектах бухгалтерского учета заинтересованным лицам для принятия управленческих решений.</w:t>
      </w:r>
      <w:bookmarkStart w:id="3" w:name="l292"/>
      <w:bookmarkStart w:id="4" w:name="l207"/>
      <w:bookmarkEnd w:id="3"/>
      <w:bookmarkEnd w:id="4"/>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В случае если в соответствии с законодательством Российской Федерации первичные учетные документы, регистры бухгалтерского учета, в том числе в виде электронных документов, изымаются, копии изъятых документов, изготовленные в соответствии с законодательством Российской Федерации, включаются в состав документов бухгалтерского учета.</w:t>
      </w:r>
      <w:bookmarkStart w:id="5" w:name="l208"/>
      <w:bookmarkEnd w:id="5"/>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3. Под документооборотом в бухгалтерском учете понимается движение документов бухгалтерского учета в целях ведения бухгалтерского учета, включая составление и представление бухгалтерской (финансовой) отчетности, в субъекте учета (в рамках взаимодействия структурных подразделений субъекта учета и (или) лиц, ответственных за оформление фактов хозяйственной жизни, по предоставлению первичных учетных документов для ведения бухгалтерского учета, а также лиц, осуществляющих ведение бухгалтерского учета, составление и представление бухгалтерской (финансовой) отчетности, в том числе в случае, если ведение бухгалтерского учета и (или) составление бухгалтерской (финансовой) отчетности передано в соответствии с законодательством Российской Федерации иному учреждению (централизованной бухгалтерии), а также в структурных подразделениях централизованной бухгалтерии, или между субъектом учета и централизованной бухгалтерией с момента составления документов бухгалтерского учета до помещения их в архив по завершению использования для целей ведения бухгалтерского учета, составления бухгалтерской (финансовой) отчетности.</w:t>
      </w:r>
      <w:bookmarkStart w:id="6" w:name="l293"/>
      <w:bookmarkStart w:id="7" w:name="l209"/>
      <w:bookmarkStart w:id="8" w:name="l294"/>
      <w:bookmarkStart w:id="9" w:name="l210"/>
      <w:bookmarkEnd w:id="6"/>
      <w:bookmarkEnd w:id="7"/>
      <w:bookmarkEnd w:id="8"/>
      <w:bookmarkEnd w:id="9"/>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 xml:space="preserve">Организация документооборота в бухгалтерском учете осуществляется руководителем субъекта учета и (или) руководителем централизованной бухгалтерии согласно утвержденному в рамках учетной политики графику документооборота и правилам </w:t>
      </w:r>
      <w:r w:rsidRPr="00706F03">
        <w:rPr>
          <w:rFonts w:ascii="Times New Roman" w:eastAsia="Times New Roman" w:hAnsi="Times New Roman" w:cs="Times New Roman"/>
          <w:sz w:val="24"/>
          <w:szCs w:val="24"/>
        </w:rPr>
        <w:lastRenderedPageBreak/>
        <w:t>документооборота, предусматривающим обязанность ответственных за оформление совершаемых фактов хозяйственной жизни лиц составлять первичные (сводные) учетные документы, порядок, технологию и сроки составления, передачи (предоставления) первичных (сводных) учетных документов для отражения их в бухгалтерском учете, а также порядок организации и обеспечения (осуществления) внутреннего контроля совершаемых фактов хозяйственной жизни.</w:t>
      </w:r>
      <w:bookmarkStart w:id="10" w:name="l295"/>
      <w:bookmarkStart w:id="11" w:name="l211"/>
      <w:bookmarkEnd w:id="10"/>
      <w:bookmarkEnd w:id="11"/>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Своевременное и качественное оформление первичных учетных документов, передачу их в сроки, предусмотренные графиком документооборота,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bookmarkStart w:id="12" w:name="l296"/>
      <w:bookmarkStart w:id="13" w:name="l212"/>
      <w:bookmarkEnd w:id="12"/>
      <w:bookmarkEnd w:id="13"/>
    </w:p>
    <w:p w:rsidR="00706F03" w:rsidRPr="00706F03" w:rsidRDefault="00706F03" w:rsidP="00706F03">
      <w:pPr>
        <w:spacing w:before="100" w:beforeAutospacing="1" w:after="100" w:afterAutospacing="1" w:line="240" w:lineRule="auto"/>
        <w:jc w:val="center"/>
        <w:outlineLvl w:val="2"/>
        <w:rPr>
          <w:rFonts w:ascii="Times New Roman" w:eastAsia="Times New Roman" w:hAnsi="Times New Roman" w:cs="Times New Roman"/>
          <w:b/>
          <w:bCs/>
          <w:sz w:val="27"/>
          <w:szCs w:val="27"/>
        </w:rPr>
      </w:pPr>
      <w:bookmarkStart w:id="14" w:name="h334"/>
      <w:bookmarkEnd w:id="14"/>
      <w:r w:rsidRPr="00706F03">
        <w:rPr>
          <w:rFonts w:ascii="Times New Roman" w:eastAsia="Times New Roman" w:hAnsi="Times New Roman" w:cs="Times New Roman"/>
          <w:b/>
          <w:bCs/>
          <w:sz w:val="27"/>
          <w:szCs w:val="27"/>
        </w:rPr>
        <w:t>II. Требования к графику документооборота</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4. График документооборота утверждается руководителем субъекта учета в целях обеспечения документооборота в бухгалтерском учете, недопущения нарушений, связанных с ведением бухгалтерского учета, а также в целях составления бухгалтерской (финансовой) отчетности, в том числе в случае, если ведение бухгалтерского учета и (или) составление бухгалтерской (финансовой) отчетности передано в соответствии с законодательством Российской Федерации иному учреждению (централизованной бухгалтерии), своевременного и полного отражения в бухгалтерском учете и (или) в бухгалтерской (финансовой) отчетности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государственных (муниципальных) бюджетных и автономных учреждений, об операциях, изменяющих указанные активы и обязательства, а также иной информации, раскрываемой в бухгалтерской (финансовой) отчетности.</w:t>
      </w:r>
      <w:bookmarkStart w:id="15" w:name="l297"/>
      <w:bookmarkStart w:id="16" w:name="l213"/>
      <w:bookmarkStart w:id="17" w:name="l298"/>
      <w:bookmarkEnd w:id="15"/>
      <w:bookmarkEnd w:id="16"/>
      <w:bookmarkEnd w:id="17"/>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График документооборота утверждается с учетом правил документооборота субъекта учета, порядка, технологии и сроков составления, передачи (предоставления) первичных (сводных) учетных документов для их отражения в бухгалтерском учете.</w:t>
      </w:r>
      <w:bookmarkStart w:id="18" w:name="l214"/>
      <w:bookmarkEnd w:id="18"/>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5. График документооборота по каждому документу, представляемому для целей ведения бухгалтерского учета, составления бухгалтерской (финансовой) отчетности, должен содержать следующие сведения:</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а) наименование документа;</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б) вид представляемого документа: электронный, электронный образ бумажного документа с приложением электронной копии документа (скан-копии) или на бумажном носителе;</w:t>
      </w:r>
      <w:bookmarkStart w:id="19" w:name="l299"/>
      <w:bookmarkEnd w:id="19"/>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 xml:space="preserve">в) информацию о составлении документа, в части информации о формировании реквизитов документа, сведения о которых отражены в регистрах бухгалтерского учета (далее - </w:t>
      </w:r>
      <w:proofErr w:type="spellStart"/>
      <w:r w:rsidRPr="00706F03">
        <w:rPr>
          <w:rFonts w:ascii="Times New Roman" w:eastAsia="Times New Roman" w:hAnsi="Times New Roman" w:cs="Times New Roman"/>
          <w:sz w:val="24"/>
          <w:szCs w:val="24"/>
        </w:rPr>
        <w:t>предзаполненный</w:t>
      </w:r>
      <w:proofErr w:type="spellEnd"/>
      <w:r w:rsidRPr="00706F03">
        <w:rPr>
          <w:rFonts w:ascii="Times New Roman" w:eastAsia="Times New Roman" w:hAnsi="Times New Roman" w:cs="Times New Roman"/>
          <w:sz w:val="24"/>
          <w:szCs w:val="24"/>
        </w:rPr>
        <w:t xml:space="preserve"> документ), с указанием:</w:t>
      </w:r>
      <w:bookmarkStart w:id="20" w:name="l215"/>
      <w:bookmarkEnd w:id="20"/>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структурного подразделения, осуществляющего ведение бухгалтерского учета (централизованной бухгалтерии) и должности лица, ответственного за формирование таких реквизитов в документе;</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сроков отражения указанных реквизитов;</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lastRenderedPageBreak/>
        <w:t xml:space="preserve">порядка передачи </w:t>
      </w:r>
      <w:proofErr w:type="spellStart"/>
      <w:r w:rsidRPr="00706F03">
        <w:rPr>
          <w:rFonts w:ascii="Times New Roman" w:eastAsia="Times New Roman" w:hAnsi="Times New Roman" w:cs="Times New Roman"/>
          <w:sz w:val="24"/>
          <w:szCs w:val="24"/>
        </w:rPr>
        <w:t>предзаполненного</w:t>
      </w:r>
      <w:proofErr w:type="spellEnd"/>
      <w:r w:rsidRPr="00706F03">
        <w:rPr>
          <w:rFonts w:ascii="Times New Roman" w:eastAsia="Times New Roman" w:hAnsi="Times New Roman" w:cs="Times New Roman"/>
          <w:sz w:val="24"/>
          <w:szCs w:val="24"/>
        </w:rPr>
        <w:t xml:space="preserve"> документа (в рамках электронного документооборота и (или) программными средствами автоматизированного ведения бухгалтерского учета, иными информационными ресурсами (с указанием наименования ресурса (информационной системы (подсистемы) (далее - цифровой способ предоставления) или направлением документа на бумажном носителе) лицу, осуществляющему оформление факта хозяйственной жизни (составление бухгалтерской (финансовой) отчетности);</w:t>
      </w:r>
      <w:bookmarkStart w:id="21" w:name="l300"/>
      <w:bookmarkStart w:id="22" w:name="l216"/>
      <w:bookmarkEnd w:id="21"/>
      <w:bookmarkEnd w:id="22"/>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г) информацию о составлении документа в целях оформления факта хозяйственной жизни (составления бухгалтерской (финансовой) отчетности) с указанием:</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структурного подразделения, ответственного за осуществление факта хозяйственной жизни (должности лица, ответственного за оформление факта хозяйственной жизни);</w:t>
      </w:r>
      <w:bookmarkStart w:id="23" w:name="l301"/>
      <w:bookmarkEnd w:id="23"/>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сроков составления документа с учетом мероприятий внутреннего контроля совершаемых фактов хозяйственной жизни (в том числе цифровыми методами) за правильностью составления документа (полнотой, корректностью отражения реквизитов документа, согласования документа) и подписания документа;</w:t>
      </w:r>
      <w:bookmarkStart w:id="24" w:name="l217"/>
      <w:bookmarkEnd w:id="24"/>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должностных лиц, подписывающих документ и (или) информацию;</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д) порядок представления документа с указанием:</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способа представления документа (цифровой способ предоставления или на бумажном носителе);</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структурного подразделения, осуществляющего ведение бухгалтерского учета (централизованной бухгалтерии), и должности лица, осуществляющего ведение бухгалтерского учета, составление бухгалтерской (финансовой) отчетности;</w:t>
      </w:r>
      <w:bookmarkStart w:id="25" w:name="l302"/>
      <w:bookmarkStart w:id="26" w:name="l218"/>
      <w:bookmarkEnd w:id="25"/>
      <w:bookmarkEnd w:id="26"/>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е) порядок отражения бухгалтерией первичного учетного документа в бухгалтерском учете, включая:</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способ отражения первичного учетного документа в бухгалтерском учете;</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срок проверки документа и его отражения в бухгалтерском учете, с учетом сроков обработки (преобразования) представленной информации, квалификации факта хозяйственной жизни, определения бухгалтерской корреспонденции, необходимой для отражения документа, формирования регистра бухгалтерского документа (при необходимости);</w:t>
      </w:r>
      <w:bookmarkStart w:id="27" w:name="l303"/>
      <w:bookmarkEnd w:id="27"/>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 xml:space="preserve">срок направления (при необходимости) уведомления о результатах внутреннего контроля совершаемых фактов хозяйственной жизни и (или) направления в целях обеспечения полноты отражения в бухгалтерском учете фактов хозяйственной жизни требования о представления дополнительных документов (информации, пояснений), в том числе в случае выявления фактов, указывающих на наличие ошибки в связи с </w:t>
      </w:r>
      <w:proofErr w:type="spellStart"/>
      <w:r w:rsidRPr="00706F03">
        <w:rPr>
          <w:rFonts w:ascii="Times New Roman" w:eastAsia="Times New Roman" w:hAnsi="Times New Roman" w:cs="Times New Roman"/>
          <w:sz w:val="24"/>
          <w:szCs w:val="24"/>
        </w:rPr>
        <w:t>непередачей</w:t>
      </w:r>
      <w:proofErr w:type="spellEnd"/>
      <w:r w:rsidRPr="00706F03">
        <w:rPr>
          <w:rFonts w:ascii="Times New Roman" w:eastAsia="Times New Roman" w:hAnsi="Times New Roman" w:cs="Times New Roman"/>
          <w:sz w:val="24"/>
          <w:szCs w:val="24"/>
        </w:rPr>
        <w:t xml:space="preserve"> либо несвоевременной передачей первичных учетных документов для регистрации содержащихся в них данных в регистрах бухгалтерского учета;</w:t>
      </w:r>
      <w:bookmarkStart w:id="28" w:name="l219"/>
      <w:bookmarkStart w:id="29" w:name="l304"/>
      <w:bookmarkEnd w:id="28"/>
      <w:bookmarkEnd w:id="29"/>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сроки представления запрашиваемых бухгалтерией дополнительных документов (информации, пояснений);</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lastRenderedPageBreak/>
        <w:t>ж) порядок представления данных бухгалтерского учета, сформированных в регистрах бухгалтерского учета и (или) данных бухгалтерской (финансовой) отчетности, представленной субъекту консолидированной отчетности, в целях составления субъектом учета документов бухгалтерского учета, иных документов, формируемых в рамках осуществления субъектом учета своей деятельности (в частности, отчетов о расходовании межбюджетных трансфертов (целевых субсидий), отчетов о выполнении государственного задания, статистических отчетов), либо принятия заинтересованными лицами управленческих решений, в том числе в целях подтверждения обоснованности принятия решения о списании государственного (муниципального) имущества, решения о признании безнадежной к взысканию задолженности, решения о предоставлении (выделении) финансового обеспечения.</w:t>
      </w:r>
      <w:bookmarkStart w:id="30" w:name="l220"/>
      <w:bookmarkStart w:id="31" w:name="l305"/>
      <w:bookmarkStart w:id="32" w:name="l221"/>
      <w:bookmarkEnd w:id="30"/>
      <w:bookmarkEnd w:id="31"/>
      <w:bookmarkEnd w:id="32"/>
    </w:p>
    <w:p w:rsidR="00706F03" w:rsidRPr="00706F03" w:rsidRDefault="00706F03" w:rsidP="00706F03">
      <w:pPr>
        <w:spacing w:before="100" w:beforeAutospacing="1" w:after="100" w:afterAutospacing="1" w:line="240" w:lineRule="auto"/>
        <w:jc w:val="center"/>
        <w:outlineLvl w:val="2"/>
        <w:rPr>
          <w:rFonts w:ascii="Times New Roman" w:eastAsia="Times New Roman" w:hAnsi="Times New Roman" w:cs="Times New Roman"/>
          <w:b/>
          <w:bCs/>
          <w:sz w:val="27"/>
          <w:szCs w:val="27"/>
        </w:rPr>
      </w:pPr>
      <w:bookmarkStart w:id="33" w:name="h335"/>
      <w:bookmarkEnd w:id="33"/>
      <w:r w:rsidRPr="00706F03">
        <w:rPr>
          <w:rFonts w:ascii="Times New Roman" w:eastAsia="Times New Roman" w:hAnsi="Times New Roman" w:cs="Times New Roman"/>
          <w:b/>
          <w:bCs/>
          <w:sz w:val="27"/>
          <w:szCs w:val="27"/>
        </w:rPr>
        <w:t>III. Требования к правилам документооборота</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6. Организация документооборота в бухгалтерском учете должна обеспечивать реализацию следующих целей:</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соблюдение правил документооборота, в том числе порядка и сроков передачи (представления) в соответствии с утвержденным графиком документооборота первичных (сводных) учетных документов для отражения их в бухгалтерском учете;</w:t>
      </w:r>
      <w:bookmarkStart w:id="34" w:name="l306"/>
      <w:bookmarkEnd w:id="34"/>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своевременное отражение объектов бухгалтерского учета в бухгалтерском учете и (или) бухгалтерской (финансовой) отчетности, в том числе передачу первичных учетных документов для регистрации содержащихся в них данных в регистрах бухгалтерского учета и составление на их основе бухгалтерской (финансовой) отчетности;</w:t>
      </w:r>
      <w:bookmarkStart w:id="35" w:name="l222"/>
      <w:bookmarkEnd w:id="35"/>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своевременное предоставление данных бухгалтерского учета и (или) бухгалтерской (финансовой) отчетности, необходимых для осуществления субъектом учета своей деятельности;</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сохранность документов бухгалтерского учета, предотвращение несанкционированного доступа к ним и недопущения необоснованного внесения в них изменений (изъятий документов).</w:t>
      </w:r>
      <w:bookmarkStart w:id="36" w:name="l307"/>
      <w:bookmarkEnd w:id="36"/>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7. Правила документооборота должны предусматривать:</w:t>
      </w:r>
      <w:bookmarkStart w:id="37" w:name="l223"/>
      <w:bookmarkEnd w:id="37"/>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а) применение унифицированных форм документов, единых регламентов их составления, представления и обработки;</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б) использование единых справочников (баз данных, классификаторов, перечней) данных, отражаемых в первичных учетных документах в составе обязательных реквизитов, или порядок составления первичных учетных документов с использованием справочников, применяемых при ведении бухгалтерского учета для обобщения и систематизации данных об объектах бухгалтерского учета и изменяющих операций;</w:t>
      </w:r>
      <w:bookmarkStart w:id="38" w:name="l308"/>
      <w:bookmarkEnd w:id="38"/>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в) обеспечение однократности ввода информации при формировании документов и исключение дублирования процедур сбора информации;</w:t>
      </w:r>
      <w:bookmarkStart w:id="39" w:name="l224"/>
      <w:bookmarkEnd w:id="39"/>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г) обеспечение соблюдения требований законодательства Российской Федерации о защите персональных данных, а также сведений, составляющих государственную тайну и иную информацию, охраняемую законом;</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lastRenderedPageBreak/>
        <w:t>д) информационную совместимость государственных (муниципальных) информационных систем и информационных ресурсов, средствами которых осуществляется формирование и обмен информацией и документами в электронном виде (в форме электронных документов);</w:t>
      </w:r>
      <w:bookmarkStart w:id="40" w:name="l309"/>
      <w:bookmarkEnd w:id="40"/>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е) обеспечения разграничения ответственности между лицами, ответственными за оформление совершаемых фактов хозяйственной жизни, составление и (или) представление документов бухгалтерского учета и лицами, на которых возложены полномочия по ведению бухгалтерского учета и (или) составления и представления бухгалтерской (финансовой) отчетности;</w:t>
      </w:r>
      <w:bookmarkStart w:id="41" w:name="l225"/>
      <w:bookmarkEnd w:id="41"/>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ж) обязанность ответственных за оформление совершаемых фактов хозяйственной жизни лиц составлять первичные (сводные) учетные документы, порядок, технологию и сроки составления, передачи (предоставления) первичных (сводных) учетных документов для отражения их в бухгалтерском учете;</w:t>
      </w:r>
      <w:bookmarkStart w:id="42" w:name="l310"/>
      <w:bookmarkEnd w:id="42"/>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з) порядок организации и обеспечения (осуществления) внутреннего контроля совершаемых фактов хозяйственной жизни в целях обеспечения предоставления для отражения в бухгалтерском учете достоверной информации;</w:t>
      </w:r>
      <w:bookmarkStart w:id="43" w:name="l226"/>
      <w:bookmarkEnd w:id="43"/>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и) иные положения, обеспечивающие реализацию целей, предусмотренных пунктом 5 настоящих общих требований.</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Правилами документооборота обеспечивается выполнение следующих обязательных условий формирования, передачи (представления) первичного учетного документа и его принятия к бухгалтерскому учету.</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Документы составляются с учетом требований нормативных правовых актов, регулирующих ведение бухгалтерского учета и составление бухгалтерской (финансовой) отчетности, предусматривающих отражение обязательных реквизитов и применение унифицированных форм бухгалтерских документов.</w:t>
      </w:r>
      <w:bookmarkStart w:id="44" w:name="l311"/>
      <w:bookmarkStart w:id="45" w:name="l227"/>
      <w:bookmarkEnd w:id="44"/>
      <w:bookmarkEnd w:id="45"/>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Документы бухгалтерского учета, формируемые субъектом учета, составляются на русском языке.</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В случае если законодательство или правила страны пребывания (места ведения деятельности) субъекта учета за пределами Российской Федерации требуют составления документов бухгалтерского учета на языке страны пребывания (иностранном языке), то документы, составленные на соответствующем иностранном языке, представляются для целей ведения бухгалтерского учета с обязательным приложением построчного перевода на русский язык.</w:t>
      </w:r>
      <w:bookmarkStart w:id="46" w:name="l228"/>
      <w:bookmarkEnd w:id="46"/>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При составлении первичного учетного документа обеспечивается отражение даты, иных реквизитов, позволяющих идентифицировать данный документ в системе документооборота для бухгалтерского учета, в период его составления до подписания ответственным лицом (ответственными лицами), совершившим факт хозяйственной жизни, оформляемый таким первичным учетным документом.</w:t>
      </w:r>
      <w:bookmarkStart w:id="47" w:name="l312"/>
      <w:bookmarkEnd w:id="47"/>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 xml:space="preserve">В случае если дата составления первичного учетного документа и (или) дата подписания документа отличается от даты (периода) совершения факта хозяйственной жизни, оформляемого этим первичным учетным документом, в составе обязательных реквизитов </w:t>
      </w:r>
      <w:r w:rsidRPr="00706F03">
        <w:rPr>
          <w:rFonts w:ascii="Times New Roman" w:eastAsia="Times New Roman" w:hAnsi="Times New Roman" w:cs="Times New Roman"/>
          <w:sz w:val="24"/>
          <w:szCs w:val="24"/>
        </w:rPr>
        <w:lastRenderedPageBreak/>
        <w:t>такого документа отражается информация о дате (периоде) совершения факта хозяйственной жизни.</w:t>
      </w:r>
      <w:bookmarkStart w:id="48" w:name="l229"/>
      <w:bookmarkEnd w:id="48"/>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В случае включения в первичный учетный документ обязательных реквизитов на основании другого документа, содержащего информацию о факте хозяйственной жизни, или документа, подтверждающего иное событие, предшествующее факту хозяйственной жизни или являющееся основанием для совершения факта хозяйственной жизни (далее - документ-основание), указывается информация, позволяющая идентифицировать соответствующий документ-основание.</w:t>
      </w:r>
      <w:bookmarkStart w:id="49" w:name="l313"/>
      <w:bookmarkStart w:id="50" w:name="l230"/>
      <w:bookmarkEnd w:id="49"/>
      <w:bookmarkEnd w:id="50"/>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8. Перечень лиц, имеющих право подписания документов бухгалтерского учета, устанавливается руководителем субъекта учета.</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Своевременное оформление первичных учетных документов, передачу их для отражения в бухгалтерском учете в сроки, предусмотренные графиком документооборота, а также достоверность содержащихся в них данных обеспечивают лица, составившие и подписавшие указанные документы.</w:t>
      </w:r>
      <w:bookmarkStart w:id="51" w:name="l314"/>
      <w:bookmarkEnd w:id="51"/>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9. Согласно утвержденным субъектом учета правилам документооборота или порядком взаимодействия структурных подразделений субъекта учета и (или) лиц, ответственных за оформление фактов хозяйственной жизни, по предоставлению первичных учетных документов для ведения бухгалтерского учета), и (или) лиц, осуществляющих ведение бухгалтерского учета, составление и представление бухгалтерской (финансовой) отчетности, в том числе в случае, если ведение бухгалтерского учета и (или) составление бухгалтерской (финансовой) отчетности передано в соответствии с законодательством Российской Федерации иному учреждению (централизованной бухгалтерии) (далее - порядок взаимодействия при документообороте для бухгалтерского учета) допускается оформление:</w:t>
      </w:r>
      <w:bookmarkStart w:id="52" w:name="l231"/>
      <w:bookmarkStart w:id="53" w:name="l315"/>
      <w:bookmarkStart w:id="54" w:name="l232"/>
      <w:bookmarkEnd w:id="52"/>
      <w:bookmarkEnd w:id="53"/>
      <w:bookmarkEnd w:id="54"/>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а) одного первичного учетного документа при осуществлении нескольких связанных между собой фактов хозяйственной жизни;</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б) первичных учетных документов с периодичностью, определенной правилами документооборота (порядком взаимодействия при документообороте для бухгалтерского учета), исходя из существа факта хозяйственной жизни и обеспечения достоверности отражаемой в документе информации (например, сутки, неделя, месяц, квартал), при условии их составления на отчетную дату;</w:t>
      </w:r>
      <w:bookmarkStart w:id="55" w:name="l316"/>
      <w:bookmarkEnd w:id="55"/>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в) одним первичным учетным документом (ведомостью) совокупность однотипных фактов хозяйственной жизни по разным контрагентам (например, ведомостью начисления доходов, ведомостью предоставления в прокат имущества, ведомостью начисления обязательств).</w:t>
      </w:r>
      <w:bookmarkStart w:id="56" w:name="l233"/>
      <w:bookmarkEnd w:id="56"/>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10. Правилами документооборота возможно предусматривать для различных групп документов бухгалтерского учета (обстоятельств их составления, представления) различные способы их формирования:</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а) собственноручно - документ составляется лицом, ответственным за совершение факта хозяйственной жизни, на бумажном носителе средствами, обеспечивающими сохранность этих записей в течение срока хранения документов (в частности, краской, чернилами, шариковой ручкой);</w:t>
      </w:r>
      <w:bookmarkStart w:id="57" w:name="l317"/>
      <w:bookmarkStart w:id="58" w:name="l234"/>
      <w:bookmarkEnd w:id="57"/>
      <w:bookmarkEnd w:id="58"/>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lastRenderedPageBreak/>
        <w:t>б) автоматически (полуавтоматически) - документ составляется с применением программных средств посредством формирования электронного образа бумажного документа, содержащего обязательные реквизиты, предусмотренные формой документа и собственноручного подписания документа на бумажном носителе;</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в) электронный (цифровой) способ - документ составляется с применением программных средств посредством формирования электронного документа, подписываемого электронными подписями. При составлении документов бухгалтерского учета в виде электронных документов правилами документооборота определяется порядок изготовления копий таких документов на бумажном носителе.</w:t>
      </w:r>
      <w:bookmarkStart w:id="59" w:name="l318"/>
      <w:bookmarkStart w:id="60" w:name="l235"/>
      <w:bookmarkEnd w:id="59"/>
      <w:bookmarkEnd w:id="60"/>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11. В случае если законодательством Российской Федерации или договором предусмотрено представление сформированных в электронной форме документа бухгалтерского учета другому лицу или в государственный орган на бумажном носителе, субъект учета обязан по требованию другого лица или государственного органа за свой счет изготавливать на бумажном носителе электронные копии документа бухгалтерского учета &lt;1&gt;.</w:t>
      </w:r>
      <w:bookmarkStart w:id="61" w:name="l319"/>
      <w:bookmarkEnd w:id="61"/>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 xml:space="preserve">&lt;1&gt; </w:t>
      </w:r>
      <w:hyperlink r:id="rId4" w:anchor="l243" w:tgtFrame="_blank" w:history="1">
        <w:r w:rsidRPr="00706F03">
          <w:rPr>
            <w:rFonts w:ascii="Times New Roman" w:eastAsia="Times New Roman" w:hAnsi="Times New Roman" w:cs="Times New Roman"/>
            <w:color w:val="0000FF"/>
            <w:sz w:val="24"/>
            <w:szCs w:val="24"/>
            <w:u w:val="single"/>
          </w:rPr>
          <w:t>Часть 6</w:t>
        </w:r>
      </w:hyperlink>
      <w:r w:rsidRPr="00706F03">
        <w:rPr>
          <w:rFonts w:ascii="Times New Roman" w:eastAsia="Times New Roman" w:hAnsi="Times New Roman" w:cs="Times New Roman"/>
          <w:sz w:val="24"/>
          <w:szCs w:val="24"/>
        </w:rPr>
        <w:t xml:space="preserve"> статьи 9 и </w:t>
      </w:r>
      <w:hyperlink r:id="rId5" w:anchor="l247" w:tgtFrame="_blank" w:history="1">
        <w:r w:rsidRPr="00706F03">
          <w:rPr>
            <w:rFonts w:ascii="Times New Roman" w:eastAsia="Times New Roman" w:hAnsi="Times New Roman" w:cs="Times New Roman"/>
            <w:color w:val="0000FF"/>
            <w:sz w:val="24"/>
            <w:szCs w:val="24"/>
            <w:u w:val="single"/>
          </w:rPr>
          <w:t>часть 7</w:t>
        </w:r>
      </w:hyperlink>
      <w:r w:rsidRPr="00706F03">
        <w:rPr>
          <w:rFonts w:ascii="Times New Roman" w:eastAsia="Times New Roman" w:hAnsi="Times New Roman" w:cs="Times New Roman"/>
          <w:sz w:val="24"/>
          <w:szCs w:val="24"/>
        </w:rPr>
        <w:t xml:space="preserve"> статьи 10 Федерального закона от 6 декабря 2011 г. N 402-ФЗ "О бухгалтерском учете".</w:t>
      </w:r>
      <w:bookmarkStart w:id="62" w:name="l236"/>
      <w:bookmarkEnd w:id="62"/>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12. В случае если при межведомственном обмене информацией в форме электронных документов, в том числе при осуществлении централизуемых полномочий, предусмотрена передача скан-копий первичных учетных документов, содержащих собственноручные подписи (сформированных на бумажном носителе), ответственность за соответствие скан-копии подлиннику документа возлагается на лицо, ответственное за оформление указанным документом факта хозяйственной жизни и (или) за формирование и (или) передачу такой скан-копии. Передача скан-копии первичного учетного документа осуществляется при условии ее подписания усиленной квалифицированной электронной подписью должностным лицом, ответственным за соответствие такой скан-копии подлиннику документа.</w:t>
      </w:r>
      <w:bookmarkStart w:id="63" w:name="l467"/>
      <w:bookmarkStart w:id="64" w:name="l320"/>
      <w:bookmarkStart w:id="65" w:name="l237"/>
      <w:bookmarkEnd w:id="63"/>
      <w:bookmarkEnd w:id="64"/>
      <w:bookmarkEnd w:id="65"/>
    </w:p>
    <w:p w:rsidR="00706F03" w:rsidRPr="00706F03" w:rsidRDefault="00706F03" w:rsidP="00706F03">
      <w:pPr>
        <w:spacing w:before="100" w:beforeAutospacing="1" w:after="100" w:afterAutospacing="1" w:line="240" w:lineRule="auto"/>
        <w:jc w:val="center"/>
        <w:outlineLvl w:val="2"/>
        <w:rPr>
          <w:rFonts w:ascii="Times New Roman" w:eastAsia="Times New Roman" w:hAnsi="Times New Roman" w:cs="Times New Roman"/>
          <w:b/>
          <w:bCs/>
          <w:sz w:val="27"/>
          <w:szCs w:val="27"/>
        </w:rPr>
      </w:pPr>
      <w:bookmarkStart w:id="66" w:name="h336"/>
      <w:bookmarkEnd w:id="66"/>
      <w:r w:rsidRPr="00706F03">
        <w:rPr>
          <w:rFonts w:ascii="Times New Roman" w:eastAsia="Times New Roman" w:hAnsi="Times New Roman" w:cs="Times New Roman"/>
          <w:b/>
          <w:bCs/>
          <w:sz w:val="27"/>
          <w:szCs w:val="27"/>
        </w:rPr>
        <w:t>IV. Особенности формирования регистров бухгалтерского учета</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13. Формирование регистров бухгалтерского учета на иностранном языке не допускается.</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Правила документооборота могут предусматривать предоставление информации по данным бухгалтерского учета (данным, отраженным в регистрах бухгалтерского учета) на иностранном языке, при условии включения в состав на русском языке представленной информации, или информации о представлении соответствующих данных на иностранном языке.</w:t>
      </w:r>
      <w:bookmarkStart w:id="67" w:name="l321"/>
      <w:bookmarkStart w:id="68" w:name="l238"/>
      <w:bookmarkEnd w:id="67"/>
      <w:bookmarkEnd w:id="68"/>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14. Величина денежного измерения объектов бухгалтерского учета записывается в регистрах бухгалтерского учета в валюте Российской Федерации (рубль) независимо от валюты факта хозяйственной жизни.</w:t>
      </w:r>
    </w:p>
    <w:p w:rsidR="00706F03" w:rsidRPr="00706F03" w:rsidRDefault="00706F03" w:rsidP="00706F03">
      <w:pPr>
        <w:spacing w:before="100" w:beforeAutospacing="1" w:after="100" w:afterAutospacing="1"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t>Информация о величине денежного измерения объекта бухгалтерского учета, стоимость которого выражена в иностранной валюте или в драгоценных металлах, а также об операциях об изменении такой величины (увеличении, уменьшении) записывается в регистрах бухгалтерского учета одновременно в рублях (рублевом эквиваленте) и в иностранной валюте (драгоценных металлах).</w:t>
      </w:r>
      <w:bookmarkStart w:id="69" w:name="l322"/>
      <w:bookmarkStart w:id="70" w:name="l239"/>
      <w:bookmarkEnd w:id="69"/>
      <w:bookmarkEnd w:id="70"/>
    </w:p>
    <w:p w:rsidR="00706F03" w:rsidRPr="00706F03" w:rsidRDefault="00706F03" w:rsidP="00706F03">
      <w:pPr>
        <w:spacing w:after="0" w:line="240" w:lineRule="auto"/>
        <w:rPr>
          <w:rFonts w:ascii="Times New Roman" w:eastAsia="Times New Roman" w:hAnsi="Times New Roman" w:cs="Times New Roman"/>
          <w:color w:val="0000FF"/>
          <w:sz w:val="24"/>
          <w:szCs w:val="24"/>
          <w:u w:val="single"/>
        </w:rPr>
      </w:pPr>
      <w:r w:rsidRPr="00706F03">
        <w:rPr>
          <w:rFonts w:ascii="Times New Roman" w:eastAsia="Times New Roman" w:hAnsi="Times New Roman" w:cs="Times New Roman"/>
          <w:sz w:val="24"/>
          <w:szCs w:val="24"/>
        </w:rPr>
        <w:lastRenderedPageBreak/>
        <w:fldChar w:fldCharType="begin"/>
      </w:r>
      <w:r w:rsidRPr="00706F03">
        <w:rPr>
          <w:rFonts w:ascii="Times New Roman" w:eastAsia="Times New Roman" w:hAnsi="Times New Roman" w:cs="Times New Roman"/>
          <w:sz w:val="24"/>
          <w:szCs w:val="24"/>
        </w:rPr>
        <w:instrText xml:space="preserve"> HYPERLINK "https://kontur.ru/lp/normativ-promo2x1?utm_source=normativ&amp;utm_medium=banner&amp;utm_campaign=promo_2x1_24_june&amp;utm_content=doc" \t "_blank" </w:instrText>
      </w:r>
      <w:r w:rsidRPr="00706F03">
        <w:rPr>
          <w:rFonts w:ascii="Times New Roman" w:eastAsia="Times New Roman" w:hAnsi="Times New Roman" w:cs="Times New Roman"/>
          <w:sz w:val="24"/>
          <w:szCs w:val="24"/>
        </w:rPr>
        <w:fldChar w:fldCharType="separate"/>
      </w:r>
    </w:p>
    <w:p w:rsidR="00706F03" w:rsidRPr="00706F03" w:rsidRDefault="00706F03" w:rsidP="00706F03">
      <w:pPr>
        <w:spacing w:after="0" w:line="240" w:lineRule="auto"/>
        <w:rPr>
          <w:rFonts w:ascii="Times New Roman" w:eastAsia="Times New Roman" w:hAnsi="Times New Roman" w:cs="Times New Roman"/>
          <w:sz w:val="24"/>
          <w:szCs w:val="24"/>
        </w:rPr>
      </w:pPr>
      <w:r w:rsidRPr="00706F03">
        <w:rPr>
          <w:rFonts w:ascii="Times New Roman" w:eastAsia="Times New Roman" w:hAnsi="Times New Roman" w:cs="Times New Roman"/>
          <w:sz w:val="24"/>
          <w:szCs w:val="24"/>
        </w:rPr>
        <w:fldChar w:fldCharType="end"/>
      </w:r>
    </w:p>
    <w:p w:rsidR="008F767E" w:rsidRDefault="008F767E"/>
    <w:sectPr w:rsidR="008F7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03"/>
    <w:rsid w:val="00706F03"/>
    <w:rsid w:val="00753C44"/>
    <w:rsid w:val="008F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EBC75-54D0-48B3-BF77-3A2AB637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06F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06F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06F0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06F03"/>
    <w:rPr>
      <w:rFonts w:ascii="Times New Roman" w:eastAsia="Times New Roman" w:hAnsi="Times New Roman" w:cs="Times New Roman"/>
      <w:b/>
      <w:bCs/>
      <w:sz w:val="27"/>
      <w:szCs w:val="27"/>
    </w:rPr>
  </w:style>
  <w:style w:type="paragraph" w:customStyle="1" w:styleId="dt-rp">
    <w:name w:val="dt-rp"/>
    <w:basedOn w:val="a"/>
    <w:rsid w:val="00706F0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06F03"/>
    <w:rPr>
      <w:color w:val="0000FF"/>
      <w:u w:val="single"/>
    </w:rPr>
  </w:style>
  <w:style w:type="paragraph" w:customStyle="1" w:styleId="dt-p">
    <w:name w:val="dt-p"/>
    <w:basedOn w:val="a"/>
    <w:rsid w:val="00706F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706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461184">
      <w:bodyDiv w:val="1"/>
      <w:marLeft w:val="0"/>
      <w:marRight w:val="0"/>
      <w:marTop w:val="0"/>
      <w:marBottom w:val="0"/>
      <w:divBdr>
        <w:top w:val="none" w:sz="0" w:space="0" w:color="auto"/>
        <w:left w:val="none" w:sz="0" w:space="0" w:color="auto"/>
        <w:bottom w:val="none" w:sz="0" w:space="0" w:color="auto"/>
        <w:right w:val="none" w:sz="0" w:space="0" w:color="auto"/>
      </w:divBdr>
      <w:divsChild>
        <w:div w:id="1797602447">
          <w:marLeft w:val="0"/>
          <w:marRight w:val="0"/>
          <w:marTop w:val="0"/>
          <w:marBottom w:val="0"/>
          <w:divBdr>
            <w:top w:val="none" w:sz="0" w:space="0" w:color="auto"/>
            <w:left w:val="none" w:sz="0" w:space="0" w:color="auto"/>
            <w:bottom w:val="none" w:sz="0" w:space="0" w:color="auto"/>
            <w:right w:val="none" w:sz="0" w:space="0" w:color="auto"/>
          </w:divBdr>
          <w:divsChild>
            <w:div w:id="1709259463">
              <w:marLeft w:val="0"/>
              <w:marRight w:val="0"/>
              <w:marTop w:val="0"/>
              <w:marBottom w:val="0"/>
              <w:divBdr>
                <w:top w:val="none" w:sz="0" w:space="0" w:color="auto"/>
                <w:left w:val="none" w:sz="0" w:space="0" w:color="auto"/>
                <w:bottom w:val="none" w:sz="0" w:space="0" w:color="auto"/>
                <w:right w:val="none" w:sz="0" w:space="0" w:color="auto"/>
              </w:divBdr>
              <w:divsChild>
                <w:div w:id="691342052">
                  <w:marLeft w:val="0"/>
                  <w:marRight w:val="0"/>
                  <w:marTop w:val="0"/>
                  <w:marBottom w:val="0"/>
                  <w:divBdr>
                    <w:top w:val="none" w:sz="0" w:space="0" w:color="auto"/>
                    <w:left w:val="none" w:sz="0" w:space="0" w:color="auto"/>
                    <w:bottom w:val="none" w:sz="0" w:space="0" w:color="auto"/>
                    <w:right w:val="none" w:sz="0" w:space="0" w:color="auto"/>
                  </w:divBdr>
                  <w:divsChild>
                    <w:div w:id="1575821205">
                      <w:marLeft w:val="0"/>
                      <w:marRight w:val="0"/>
                      <w:marTop w:val="0"/>
                      <w:marBottom w:val="0"/>
                      <w:divBdr>
                        <w:top w:val="none" w:sz="0" w:space="0" w:color="auto"/>
                        <w:left w:val="none" w:sz="0" w:space="0" w:color="auto"/>
                        <w:bottom w:val="none" w:sz="0" w:space="0" w:color="auto"/>
                        <w:right w:val="none" w:sz="0" w:space="0" w:color="auto"/>
                      </w:divBdr>
                      <w:divsChild>
                        <w:div w:id="1146701234">
                          <w:marLeft w:val="0"/>
                          <w:marRight w:val="0"/>
                          <w:marTop w:val="0"/>
                          <w:marBottom w:val="0"/>
                          <w:divBdr>
                            <w:top w:val="none" w:sz="0" w:space="0" w:color="auto"/>
                            <w:left w:val="none" w:sz="0" w:space="0" w:color="auto"/>
                            <w:bottom w:val="none" w:sz="0" w:space="0" w:color="auto"/>
                            <w:right w:val="none" w:sz="0" w:space="0" w:color="auto"/>
                          </w:divBdr>
                          <w:divsChild>
                            <w:div w:id="650788009">
                              <w:marLeft w:val="0"/>
                              <w:marRight w:val="0"/>
                              <w:marTop w:val="0"/>
                              <w:marBottom w:val="0"/>
                              <w:divBdr>
                                <w:top w:val="none" w:sz="0" w:space="0" w:color="auto"/>
                                <w:left w:val="none" w:sz="0" w:space="0" w:color="auto"/>
                                <w:bottom w:val="none" w:sz="0" w:space="0" w:color="auto"/>
                                <w:right w:val="none" w:sz="0" w:space="0" w:color="auto"/>
                              </w:divBdr>
                              <w:divsChild>
                                <w:div w:id="16339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530756">
          <w:marLeft w:val="0"/>
          <w:marRight w:val="0"/>
          <w:marTop w:val="0"/>
          <w:marBottom w:val="0"/>
          <w:divBdr>
            <w:top w:val="none" w:sz="0" w:space="0" w:color="auto"/>
            <w:left w:val="none" w:sz="0" w:space="0" w:color="auto"/>
            <w:bottom w:val="none" w:sz="0" w:space="0" w:color="auto"/>
            <w:right w:val="none" w:sz="0" w:space="0" w:color="auto"/>
          </w:divBdr>
          <w:divsChild>
            <w:div w:id="1589849372">
              <w:marLeft w:val="0"/>
              <w:marRight w:val="0"/>
              <w:marTop w:val="0"/>
              <w:marBottom w:val="0"/>
              <w:divBdr>
                <w:top w:val="none" w:sz="0" w:space="0" w:color="auto"/>
                <w:left w:val="none" w:sz="0" w:space="0" w:color="auto"/>
                <w:bottom w:val="none" w:sz="0" w:space="0" w:color="auto"/>
                <w:right w:val="none" w:sz="0" w:space="0" w:color="auto"/>
              </w:divBdr>
              <w:divsChild>
                <w:div w:id="1396320038">
                  <w:marLeft w:val="0"/>
                  <w:marRight w:val="0"/>
                  <w:marTop w:val="0"/>
                  <w:marBottom w:val="0"/>
                  <w:divBdr>
                    <w:top w:val="none" w:sz="0" w:space="0" w:color="auto"/>
                    <w:left w:val="none" w:sz="0" w:space="0" w:color="auto"/>
                    <w:bottom w:val="none" w:sz="0" w:space="0" w:color="auto"/>
                    <w:right w:val="none" w:sz="0" w:space="0" w:color="auto"/>
                  </w:divBdr>
                  <w:divsChild>
                    <w:div w:id="787503806">
                      <w:marLeft w:val="0"/>
                      <w:marRight w:val="0"/>
                      <w:marTop w:val="0"/>
                      <w:marBottom w:val="0"/>
                      <w:divBdr>
                        <w:top w:val="none" w:sz="0" w:space="0" w:color="auto"/>
                        <w:left w:val="none" w:sz="0" w:space="0" w:color="auto"/>
                        <w:bottom w:val="none" w:sz="0" w:space="0" w:color="auto"/>
                        <w:right w:val="none" w:sz="0" w:space="0" w:color="auto"/>
                      </w:divBdr>
                      <w:divsChild>
                        <w:div w:id="11892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rmativ.kontur.ru/document?moduleId=1&amp;documentId=461630" TargetMode="External"/><Relationship Id="rId4" Type="http://schemas.openxmlformats.org/officeDocument/2006/relationships/hyperlink" Target="https://normativ.kontur.ru/document?moduleId=1&amp;documentId=461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2997</Words>
  <Characters>17088</Characters>
  <Application>Microsoft Office Word</Application>
  <DocSecurity>0</DocSecurity>
  <Lines>142</Lines>
  <Paragraphs>40</Paragraphs>
  <ScaleCrop>false</ScaleCrop>
  <Company/>
  <LinksUpToDate>false</LinksUpToDate>
  <CharactersWithSpaces>20045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2024-06-24T10:53:00Z</dcterms:created>
  <dcterms:modified xsi:type="dcterms:W3CDTF">2024-06-24T10:53:00Z</dcterms:modified>
</cp:coreProperties>
</file>