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52" w:rsidRPr="005A21AE" w:rsidRDefault="00100F52" w:rsidP="00100F52">
      <w:pPr>
        <w:pStyle w:val="aa"/>
        <w:spacing w:before="0" w:beforeAutospacing="0" w:after="0" w:afterAutospacing="0"/>
        <w:ind w:left="4860"/>
        <w:rPr>
          <w:color w:val="000000"/>
          <w:sz w:val="28"/>
          <w:szCs w:val="28"/>
        </w:rPr>
      </w:pPr>
      <w:bookmarkStart w:id="0" w:name="sub_1402"/>
      <w:bookmarkStart w:id="1" w:name="_GoBack"/>
      <w:bookmarkEnd w:id="1"/>
      <w:r w:rsidRPr="005A21AE">
        <w:rPr>
          <w:color w:val="000000"/>
          <w:sz w:val="28"/>
          <w:szCs w:val="28"/>
        </w:rPr>
        <w:t>Приложение</w:t>
      </w:r>
    </w:p>
    <w:p w:rsidR="00100F52" w:rsidRPr="005A21AE" w:rsidRDefault="00100F52" w:rsidP="00100F52">
      <w:pPr>
        <w:pStyle w:val="aa"/>
        <w:spacing w:before="0" w:beforeAutospacing="0" w:after="0" w:afterAutospacing="0"/>
        <w:ind w:left="4860"/>
        <w:rPr>
          <w:color w:val="000000"/>
          <w:sz w:val="28"/>
          <w:szCs w:val="28"/>
        </w:rPr>
      </w:pPr>
      <w:r w:rsidRPr="005A21AE">
        <w:rPr>
          <w:color w:val="000000"/>
          <w:sz w:val="28"/>
          <w:szCs w:val="28"/>
        </w:rPr>
        <w:t>к постановлению администрации</w:t>
      </w:r>
    </w:p>
    <w:p w:rsidR="00100F52" w:rsidRDefault="00100F52" w:rsidP="00100F52">
      <w:pPr>
        <w:pStyle w:val="aa"/>
        <w:spacing w:before="0" w:beforeAutospacing="0" w:after="0" w:afterAutospacing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Саракташского поссовета Саракташского района </w:t>
      </w:r>
    </w:p>
    <w:p w:rsidR="00100F52" w:rsidRPr="005A21AE" w:rsidRDefault="00100F52" w:rsidP="00100F52">
      <w:pPr>
        <w:pStyle w:val="aa"/>
        <w:spacing w:before="0" w:beforeAutospacing="0" w:after="0" w:afterAutospacing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100F52" w:rsidRDefault="00100F52" w:rsidP="00100F52">
      <w:pPr>
        <w:pStyle w:val="aa"/>
        <w:spacing w:before="0" w:beforeAutospacing="0" w:after="0" w:afterAutospacing="0"/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A21AE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7 июня </w:t>
      </w:r>
      <w:r w:rsidRPr="005A21A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Pr="005A21AE">
        <w:rPr>
          <w:color w:val="000000"/>
          <w:sz w:val="28"/>
          <w:szCs w:val="28"/>
        </w:rPr>
        <w:t xml:space="preserve">3 № </w:t>
      </w:r>
      <w:r>
        <w:rPr>
          <w:color w:val="000000"/>
          <w:sz w:val="28"/>
          <w:szCs w:val="28"/>
        </w:rPr>
        <w:t>175-п</w:t>
      </w:r>
    </w:p>
    <w:p w:rsidR="00100F52" w:rsidRDefault="00100F52" w:rsidP="00100F52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0F52" w:rsidRDefault="00100F52" w:rsidP="00100F52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0F52" w:rsidRDefault="00100F52" w:rsidP="00100F52">
      <w:pPr>
        <w:jc w:val="center"/>
        <w:rPr>
          <w:b/>
          <w:bCs/>
          <w:sz w:val="28"/>
          <w:szCs w:val="28"/>
        </w:rPr>
      </w:pPr>
      <w:r w:rsidRPr="00124895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</w:p>
    <w:p w:rsidR="00100F52" w:rsidRPr="00124895" w:rsidRDefault="00100F52" w:rsidP="00100F52">
      <w:pPr>
        <w:jc w:val="center"/>
        <w:rPr>
          <w:sz w:val="28"/>
          <w:szCs w:val="28"/>
        </w:rPr>
      </w:pPr>
      <w:r w:rsidRPr="00124895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я</w:t>
      </w:r>
      <w:r w:rsidRPr="00124895">
        <w:rPr>
          <w:b/>
          <w:bCs/>
          <w:sz w:val="28"/>
          <w:szCs w:val="28"/>
        </w:rPr>
        <w:t xml:space="preserve"> участков для воинских захоронений на территории </w:t>
      </w:r>
      <w:r>
        <w:rPr>
          <w:b/>
          <w:bCs/>
          <w:sz w:val="28"/>
          <w:szCs w:val="28"/>
        </w:rPr>
        <w:t>Саракташского поссовета Саракташского района Оренбургской области</w:t>
      </w:r>
    </w:p>
    <w:p w:rsidR="00100F52" w:rsidRPr="00124895" w:rsidRDefault="00100F52" w:rsidP="00100F52">
      <w:pPr>
        <w:tabs>
          <w:tab w:val="left" w:pos="709"/>
        </w:tabs>
        <w:jc w:val="both"/>
        <w:rPr>
          <w:sz w:val="28"/>
          <w:szCs w:val="28"/>
        </w:rPr>
      </w:pPr>
    </w:p>
    <w:p w:rsidR="00100F52" w:rsidRPr="003E6D45" w:rsidRDefault="00100F52" w:rsidP="00100F52">
      <w:pPr>
        <w:jc w:val="center"/>
        <w:rPr>
          <w:b/>
          <w:bCs/>
          <w:sz w:val="28"/>
          <w:szCs w:val="28"/>
        </w:rPr>
      </w:pPr>
      <w:r w:rsidRPr="003E6D45">
        <w:rPr>
          <w:b/>
          <w:bCs/>
          <w:sz w:val="28"/>
          <w:szCs w:val="28"/>
        </w:rPr>
        <w:t>Общие положения</w:t>
      </w:r>
    </w:p>
    <w:p w:rsidR="00100F52" w:rsidRPr="003E6D45" w:rsidRDefault="00100F52" w:rsidP="00100F52">
      <w:pPr>
        <w:ind w:firstLine="720"/>
        <w:jc w:val="both"/>
        <w:rPr>
          <w:sz w:val="28"/>
          <w:szCs w:val="28"/>
        </w:rPr>
      </w:pPr>
      <w:r w:rsidRPr="003E6D45">
        <w:rPr>
          <w:sz w:val="28"/>
          <w:szCs w:val="28"/>
        </w:rPr>
        <w:t> 1.1. По</w:t>
      </w:r>
      <w:r>
        <w:rPr>
          <w:sz w:val="28"/>
          <w:szCs w:val="28"/>
        </w:rPr>
        <w:t>рядок</w:t>
      </w:r>
      <w:r w:rsidRPr="003E6D4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3E6D45">
        <w:rPr>
          <w:sz w:val="28"/>
          <w:szCs w:val="28"/>
        </w:rPr>
        <w:t xml:space="preserve"> участков для воинских захоронений на территории  </w:t>
      </w:r>
      <w:r>
        <w:rPr>
          <w:sz w:val="28"/>
          <w:szCs w:val="28"/>
        </w:rPr>
        <w:t>Саракташского поссовета</w:t>
      </w:r>
      <w:r w:rsidRPr="003E6D45">
        <w:rPr>
          <w:sz w:val="28"/>
          <w:szCs w:val="28"/>
        </w:rPr>
        <w:t xml:space="preserve"> Саракташского района Оренбургской области (далее - По</w:t>
      </w:r>
      <w:r>
        <w:rPr>
          <w:sz w:val="28"/>
          <w:szCs w:val="28"/>
        </w:rPr>
        <w:t>рядок</w:t>
      </w:r>
      <w:r w:rsidRPr="003E6D45">
        <w:rPr>
          <w:sz w:val="28"/>
          <w:szCs w:val="28"/>
        </w:rPr>
        <w:t>) разработан в целях</w:t>
      </w:r>
      <w:r w:rsidRPr="003E6D45">
        <w:rPr>
          <w:color w:val="000000"/>
          <w:sz w:val="28"/>
          <w:szCs w:val="28"/>
        </w:rPr>
        <w:t xml:space="preserve"> реализации полномочий органов местного самоуправления в области организации ритуальных услуг и содержания мест захоронения,</w:t>
      </w:r>
      <w:r w:rsidRPr="003E6D45">
        <w:rPr>
          <w:sz w:val="28"/>
          <w:szCs w:val="28"/>
        </w:rPr>
        <w:t xml:space="preserve"> создания на общественных кладбищах </w:t>
      </w:r>
      <w:r>
        <w:rPr>
          <w:sz w:val="28"/>
          <w:szCs w:val="28"/>
        </w:rPr>
        <w:t>Саракташского поссовета</w:t>
      </w:r>
      <w:r w:rsidRPr="003E6D45">
        <w:rPr>
          <w:sz w:val="28"/>
          <w:szCs w:val="28"/>
        </w:rPr>
        <w:t xml:space="preserve"> Саракташского района Оренбургской области </w:t>
      </w:r>
      <w:r>
        <w:rPr>
          <w:sz w:val="28"/>
          <w:szCs w:val="28"/>
        </w:rPr>
        <w:t xml:space="preserve">специализированных </w:t>
      </w:r>
      <w:r w:rsidRPr="003E6D45">
        <w:rPr>
          <w:sz w:val="28"/>
          <w:szCs w:val="28"/>
        </w:rPr>
        <w:t>мест воинских захоронений, увековечиванию памяти погибших при защите Отечества,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1.2. По</w:t>
      </w:r>
      <w:r>
        <w:rPr>
          <w:sz w:val="28"/>
          <w:szCs w:val="28"/>
        </w:rPr>
        <w:t>рядок</w:t>
      </w:r>
      <w:r w:rsidRPr="00611A77">
        <w:rPr>
          <w:sz w:val="28"/>
          <w:szCs w:val="28"/>
        </w:rPr>
        <w:t xml:space="preserve"> устанавливает предоставлени</w:t>
      </w:r>
      <w:r>
        <w:rPr>
          <w:sz w:val="28"/>
          <w:szCs w:val="28"/>
        </w:rPr>
        <w:t>е</w:t>
      </w:r>
      <w:r w:rsidRPr="00611A77">
        <w:rPr>
          <w:sz w:val="28"/>
          <w:szCs w:val="28"/>
        </w:rPr>
        <w:t xml:space="preserve"> участков для воинских захоронений (далее - воинский участок) на муниципальных общественных кладбищах </w:t>
      </w:r>
      <w:r w:rsidR="00E961E1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611A77">
        <w:rPr>
          <w:sz w:val="28"/>
          <w:szCs w:val="28"/>
        </w:rPr>
        <w:t xml:space="preserve"> и погребения на них с соблюдением воинского обряда.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1.3. Места для воинских захоронений определяются (резервируются) администраци</w:t>
      </w:r>
      <w:r>
        <w:rPr>
          <w:sz w:val="28"/>
          <w:szCs w:val="28"/>
        </w:rPr>
        <w:t>ей</w:t>
      </w:r>
      <w:r w:rsidR="00E961E1">
        <w:rPr>
          <w:sz w:val="28"/>
          <w:szCs w:val="28"/>
        </w:rPr>
        <w:t xml:space="preserve"> 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611A77">
        <w:rPr>
          <w:sz w:val="28"/>
          <w:szCs w:val="28"/>
        </w:rPr>
        <w:t xml:space="preserve"> и являются частью муниципального общественного кладбища.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>. На воинских участках с учетом волеизъявления умершего (погибшего), или иных лиц, которые в соответствии с Федеральным Законом от 12 января 1996 года № 8-ФЗ «О погребении и похоронном деле» наделены полномочиями на разрешение действий по достойному отношению к телу умершего, осуществляется погребение: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 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 xml:space="preserve"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</w:t>
      </w:r>
      <w:r w:rsidRPr="00611A77">
        <w:rPr>
          <w:sz w:val="28"/>
          <w:szCs w:val="28"/>
        </w:rPr>
        <w:lastRenderedPageBreak/>
        <w:t>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лет;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 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 ветеранов военной службы;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 военнослужащих и 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 - участников войны, проходивших службу в действующей армии, и ветеранов боевых действий из числа лиц, указанных в пункте 1 статьи 3 Федерального закона «О ветеранах», независимо от общей продолжительности военной службы (службы)</w:t>
      </w:r>
      <w:r>
        <w:rPr>
          <w:sz w:val="28"/>
          <w:szCs w:val="28"/>
        </w:rPr>
        <w:t>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11A77">
        <w:rPr>
          <w:sz w:val="28"/>
          <w:szCs w:val="28"/>
        </w:rPr>
        <w:t xml:space="preserve">. Воинские захоронения - места захоронения площадью 5 квадратных метров, </w:t>
      </w:r>
      <w:r>
        <w:rPr>
          <w:sz w:val="28"/>
          <w:szCs w:val="28"/>
        </w:rPr>
        <w:t>предоставляются для п</w:t>
      </w:r>
      <w:r w:rsidRPr="00611A77">
        <w:rPr>
          <w:sz w:val="28"/>
          <w:szCs w:val="28"/>
        </w:rPr>
        <w:t>огребени</w:t>
      </w:r>
      <w:r>
        <w:rPr>
          <w:sz w:val="28"/>
          <w:szCs w:val="28"/>
        </w:rPr>
        <w:t>я</w:t>
      </w:r>
      <w:r w:rsidRPr="00611A77">
        <w:rPr>
          <w:sz w:val="28"/>
          <w:szCs w:val="28"/>
        </w:rPr>
        <w:t xml:space="preserve"> умерших (погибших), указанных в пункте 1.</w:t>
      </w:r>
      <w:r>
        <w:rPr>
          <w:sz w:val="28"/>
          <w:szCs w:val="28"/>
        </w:rPr>
        <w:t>4 настоящего Положения</w:t>
      </w:r>
      <w:r w:rsidR="00E961E1">
        <w:rPr>
          <w:sz w:val="28"/>
          <w:szCs w:val="28"/>
        </w:rPr>
        <w:t xml:space="preserve"> </w:t>
      </w:r>
      <w:r>
        <w:rPr>
          <w:sz w:val="28"/>
          <w:szCs w:val="28"/>
        </w:rPr>
        <w:t>без взимания платы</w:t>
      </w:r>
      <w:r w:rsidRPr="00611A77">
        <w:rPr>
          <w:sz w:val="28"/>
          <w:szCs w:val="28"/>
        </w:rPr>
        <w:t>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1.6. Погребение умерших (погибших), указанных в пункте 1.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611A77">
        <w:rPr>
          <w:sz w:val="28"/>
          <w:szCs w:val="28"/>
        </w:rPr>
        <w:t xml:space="preserve"> осуществляется на воинских участках общественных кладбищ или на других местах погребения с учетом волеизъявления умершего (погибшего) либо пожелания супруга, близких родственников или иных родственников.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1.7. Нормы расходов на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 определяются Правительством Российской Федерации.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1.8. Оплата расходов на оформление документов, необходимых для погребения умершего, перевозку умершего в морг, услуги морга; на предоставление гроба, урны, венка; на перевозку тела (останков) к месту погребения (кремации); на погребение (кремацию), изготовление и установку надгробия производится за счет средств федеральных органов исполнительной власти и федеральных государственных органов, в которых умерший (погибший) проходил военную службу (военные сборы, службу).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C2435D">
        <w:rPr>
          <w:sz w:val="28"/>
          <w:szCs w:val="28"/>
        </w:rPr>
        <w:t>.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самоуправления.</w:t>
      </w:r>
    </w:p>
    <w:p w:rsidR="00E961E1" w:rsidRPr="00C2435D" w:rsidRDefault="00E961E1" w:rsidP="00100F52">
      <w:pPr>
        <w:ind w:firstLine="708"/>
        <w:jc w:val="both"/>
        <w:rPr>
          <w:sz w:val="28"/>
          <w:szCs w:val="28"/>
        </w:rPr>
      </w:pPr>
    </w:p>
    <w:p w:rsidR="00100F52" w:rsidRDefault="00100F52" w:rsidP="00100F52">
      <w:pPr>
        <w:jc w:val="center"/>
        <w:rPr>
          <w:b/>
          <w:bCs/>
          <w:sz w:val="28"/>
          <w:szCs w:val="28"/>
        </w:rPr>
      </w:pPr>
      <w:r w:rsidRPr="00C2435D">
        <w:rPr>
          <w:b/>
          <w:bCs/>
          <w:sz w:val="28"/>
          <w:szCs w:val="28"/>
        </w:rPr>
        <w:t>2. Размещение участка воинского захоронения.</w:t>
      </w:r>
      <w:r w:rsidR="00E961E1">
        <w:rPr>
          <w:b/>
          <w:bCs/>
          <w:sz w:val="28"/>
          <w:szCs w:val="28"/>
        </w:rPr>
        <w:t xml:space="preserve"> </w:t>
      </w:r>
    </w:p>
    <w:p w:rsidR="00E961E1" w:rsidRPr="00C2435D" w:rsidRDefault="00E961E1" w:rsidP="00100F52">
      <w:pPr>
        <w:jc w:val="center"/>
        <w:rPr>
          <w:b/>
          <w:bCs/>
          <w:sz w:val="28"/>
          <w:szCs w:val="28"/>
        </w:rPr>
      </w:pP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2.1. Участок для воинских захоронений размещается вблизи с входной зоной общественного кладбища и состоит из: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lastRenderedPageBreak/>
        <w:t>- ритуальной зоны, предназначенной для проведения скорбных и траурных ритуалов;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- зоны захоронения, на которой осуществляется погребение умерших (погибших) лиц, указанных в пункте 1.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>. По</w:t>
      </w:r>
      <w:r>
        <w:rPr>
          <w:sz w:val="28"/>
          <w:szCs w:val="28"/>
        </w:rPr>
        <w:t>рядка</w:t>
      </w:r>
      <w:r w:rsidRPr="00611A77">
        <w:rPr>
          <w:sz w:val="28"/>
          <w:szCs w:val="28"/>
        </w:rPr>
        <w:t>.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2.2. Непосредственно на месте расположения участка для воинских захоронений устанавливается информационная табличка.</w:t>
      </w:r>
    </w:p>
    <w:p w:rsidR="00E961E1" w:rsidRPr="00611A77" w:rsidRDefault="00E961E1" w:rsidP="00100F52">
      <w:pPr>
        <w:ind w:firstLine="708"/>
        <w:jc w:val="both"/>
        <w:rPr>
          <w:sz w:val="28"/>
          <w:szCs w:val="28"/>
        </w:rPr>
      </w:pPr>
    </w:p>
    <w:p w:rsidR="00100F52" w:rsidRDefault="00100F52" w:rsidP="00100F52">
      <w:pPr>
        <w:ind w:firstLine="708"/>
        <w:jc w:val="both"/>
        <w:rPr>
          <w:b/>
          <w:bCs/>
          <w:sz w:val="28"/>
          <w:szCs w:val="28"/>
        </w:rPr>
      </w:pPr>
      <w:r w:rsidRPr="00C2435D">
        <w:rPr>
          <w:b/>
          <w:bCs/>
          <w:sz w:val="28"/>
          <w:szCs w:val="28"/>
        </w:rPr>
        <w:t>3. Оформление документов, необходимых для погребения и особенности захоронения на воинских участках.</w:t>
      </w:r>
    </w:p>
    <w:p w:rsidR="00E961E1" w:rsidRPr="00C2435D" w:rsidRDefault="00E961E1" w:rsidP="00100F52">
      <w:pPr>
        <w:ind w:firstLine="708"/>
        <w:jc w:val="both"/>
        <w:rPr>
          <w:b/>
          <w:bCs/>
          <w:sz w:val="28"/>
          <w:szCs w:val="28"/>
        </w:rPr>
      </w:pPr>
    </w:p>
    <w:p w:rsidR="00100F52" w:rsidRPr="00C2435D" w:rsidRDefault="00100F52" w:rsidP="00100F52">
      <w:pPr>
        <w:ind w:firstLine="540"/>
        <w:jc w:val="both"/>
        <w:rPr>
          <w:sz w:val="28"/>
          <w:szCs w:val="28"/>
        </w:rPr>
      </w:pPr>
      <w:r w:rsidRPr="00C2435D">
        <w:rPr>
          <w:sz w:val="28"/>
          <w:szCs w:val="28"/>
        </w:rPr>
        <w:t> </w:t>
      </w:r>
      <w:r w:rsidRPr="00C2435D">
        <w:rPr>
          <w:sz w:val="28"/>
          <w:szCs w:val="28"/>
        </w:rPr>
        <w:tab/>
        <w:t xml:space="preserve">3.1. Решение о погребении на воинских </w:t>
      </w:r>
      <w:r>
        <w:rPr>
          <w:sz w:val="28"/>
          <w:szCs w:val="28"/>
        </w:rPr>
        <w:t xml:space="preserve">участках </w:t>
      </w:r>
      <w:r w:rsidRPr="00C2435D">
        <w:rPr>
          <w:sz w:val="28"/>
          <w:szCs w:val="28"/>
        </w:rPr>
        <w:t xml:space="preserve">принимается администрацией </w:t>
      </w:r>
      <w:r w:rsidR="00E961E1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C2435D">
        <w:rPr>
          <w:sz w:val="28"/>
          <w:szCs w:val="28"/>
        </w:rPr>
        <w:t xml:space="preserve"> на основании обращения исполнителя волеизъявления умершего (погибшего), относящихся к категориям лиц, указанным в п. 1.</w:t>
      </w:r>
      <w:r>
        <w:rPr>
          <w:sz w:val="28"/>
          <w:szCs w:val="28"/>
        </w:rPr>
        <w:t>4</w:t>
      </w:r>
      <w:r w:rsidRPr="00C2435D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C2435D">
        <w:rPr>
          <w:sz w:val="28"/>
          <w:szCs w:val="28"/>
        </w:rPr>
        <w:t>, которые кроме документов, представляемых при захоронении в обычном порядке в соответствии с действующим законодательством, дополнительно представляют документы, подтверждающие отнесение умершего (погибшего) к указанной категории лиц в пункте 1.</w:t>
      </w:r>
      <w:r>
        <w:rPr>
          <w:sz w:val="28"/>
          <w:szCs w:val="28"/>
        </w:rPr>
        <w:t>4</w:t>
      </w:r>
      <w:r w:rsidRPr="00C2435D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рядка</w:t>
      </w:r>
      <w:r w:rsidRPr="00C2435D">
        <w:rPr>
          <w:sz w:val="28"/>
          <w:szCs w:val="28"/>
        </w:rPr>
        <w:t xml:space="preserve"> или на основании 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организации, при отсутствии противоречий с волеизъявлением умершего (погибшего).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Указанные документы представляются в виде копий с предъявлением оригинала или нотариально удостоверенных копий.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В случаях отсутствия документов, указанных в данном пункте, принимаются справки архивных учреждений.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3.2. Места воинских захоронений предоставляются непосредственно при погребении умершего.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3.3. Для захоронения на воинском участке умершего (погибшего) лица, выделяется участок земли размером 2м х 2,5 м.</w:t>
      </w:r>
    </w:p>
    <w:p w:rsidR="00100F52" w:rsidRPr="00611A77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>.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11A77">
        <w:rPr>
          <w:sz w:val="28"/>
          <w:szCs w:val="28"/>
        </w:rPr>
        <w:t xml:space="preserve">. С учетом волеизъявления умершего (погибшего) либо пожелания супруга, близких родственников или иных родственников </w:t>
      </w:r>
      <w:r>
        <w:rPr>
          <w:sz w:val="28"/>
          <w:szCs w:val="28"/>
        </w:rPr>
        <w:t xml:space="preserve">могут </w:t>
      </w:r>
      <w:r w:rsidRPr="00611A77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религиозные</w:t>
      </w:r>
      <w:r w:rsidRPr="00611A77">
        <w:rPr>
          <w:sz w:val="28"/>
          <w:szCs w:val="28"/>
        </w:rPr>
        <w:t xml:space="preserve"> обряд</w:t>
      </w:r>
      <w:r>
        <w:rPr>
          <w:sz w:val="28"/>
          <w:szCs w:val="28"/>
        </w:rPr>
        <w:t>ы.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11A77">
        <w:rPr>
          <w:sz w:val="28"/>
          <w:szCs w:val="28"/>
        </w:rPr>
        <w:t>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родственников, захоронение осуществляется по последнему месту жительства погибшего.</w:t>
      </w:r>
    </w:p>
    <w:p w:rsidR="00B81B78" w:rsidRPr="00611A77" w:rsidRDefault="00B81B78" w:rsidP="00100F52">
      <w:pPr>
        <w:ind w:firstLine="708"/>
        <w:jc w:val="both"/>
        <w:rPr>
          <w:sz w:val="28"/>
          <w:szCs w:val="28"/>
        </w:rPr>
      </w:pPr>
    </w:p>
    <w:p w:rsidR="00100F52" w:rsidRDefault="00100F52" w:rsidP="00100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2435D">
        <w:rPr>
          <w:b/>
          <w:bCs/>
          <w:sz w:val="28"/>
          <w:szCs w:val="28"/>
        </w:rPr>
        <w:t>. Заключительные положения.</w:t>
      </w:r>
    </w:p>
    <w:p w:rsidR="00B81B78" w:rsidRPr="00C2435D" w:rsidRDefault="00B81B78" w:rsidP="00100F52">
      <w:pPr>
        <w:jc w:val="center"/>
        <w:rPr>
          <w:b/>
          <w:bCs/>
          <w:sz w:val="28"/>
          <w:szCs w:val="28"/>
        </w:rPr>
      </w:pPr>
    </w:p>
    <w:p w:rsidR="00100F52" w:rsidRDefault="00100F52" w:rsidP="00100F52">
      <w:pPr>
        <w:ind w:firstLine="708"/>
        <w:jc w:val="both"/>
        <w:rPr>
          <w:sz w:val="28"/>
          <w:szCs w:val="28"/>
        </w:rPr>
      </w:pPr>
      <w:r w:rsidRPr="00611A77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611A77">
        <w:rPr>
          <w:sz w:val="28"/>
          <w:szCs w:val="28"/>
        </w:rPr>
        <w:t xml:space="preserve">.1. Вопросы предоставления земельных участков, погребения, изготовления и установки памятников, памятных знаков и надмогильных </w:t>
      </w:r>
      <w:r w:rsidRPr="00611A77">
        <w:rPr>
          <w:sz w:val="28"/>
          <w:szCs w:val="28"/>
        </w:rPr>
        <w:lastRenderedPageBreak/>
        <w:t>сооружений, благоустройства и содержания воинского участка и расположенных на нем мест захоронений, не урегулированные настоящим По</w:t>
      </w:r>
      <w:r>
        <w:rPr>
          <w:sz w:val="28"/>
          <w:szCs w:val="28"/>
        </w:rPr>
        <w:t>рядком</w:t>
      </w:r>
      <w:r w:rsidRPr="00611A77">
        <w:rPr>
          <w:sz w:val="28"/>
          <w:szCs w:val="28"/>
        </w:rPr>
        <w:t>, регламентируются действующим законодательством и другими нормативными правовыми актами в сфере погребения и похоронного дела</w:t>
      </w:r>
      <w:r>
        <w:rPr>
          <w:sz w:val="28"/>
          <w:szCs w:val="28"/>
        </w:rPr>
        <w:t>.</w:t>
      </w:r>
    </w:p>
    <w:p w:rsidR="00100F52" w:rsidRDefault="00100F52" w:rsidP="00100F52">
      <w:pPr>
        <w:ind w:firstLine="708"/>
        <w:jc w:val="both"/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Pr="0041525A" w:rsidRDefault="0041525A" w:rsidP="0041525A">
      <w:pPr>
        <w:rPr>
          <w:sz w:val="28"/>
          <w:szCs w:val="28"/>
        </w:rPr>
      </w:pPr>
    </w:p>
    <w:p w:rsidR="0041525A" w:rsidRDefault="0041525A" w:rsidP="0041525A">
      <w:pPr>
        <w:rPr>
          <w:sz w:val="28"/>
          <w:szCs w:val="28"/>
        </w:rPr>
      </w:pPr>
    </w:p>
    <w:p w:rsidR="0041525A" w:rsidRDefault="0041525A" w:rsidP="0041525A">
      <w:pPr>
        <w:rPr>
          <w:sz w:val="28"/>
          <w:szCs w:val="28"/>
        </w:rPr>
      </w:pPr>
    </w:p>
    <w:p w:rsidR="00823862" w:rsidRDefault="0041525A" w:rsidP="0041525A">
      <w:pPr>
        <w:tabs>
          <w:tab w:val="left" w:pos="6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525A" w:rsidRDefault="0041525A" w:rsidP="0041525A">
      <w:pPr>
        <w:tabs>
          <w:tab w:val="left" w:pos="6010"/>
        </w:tabs>
        <w:rPr>
          <w:sz w:val="28"/>
          <w:szCs w:val="28"/>
        </w:rPr>
      </w:pPr>
    </w:p>
    <w:p w:rsidR="0041525A" w:rsidRDefault="0041525A" w:rsidP="0041525A">
      <w:pPr>
        <w:tabs>
          <w:tab w:val="left" w:pos="6010"/>
        </w:tabs>
        <w:rPr>
          <w:sz w:val="28"/>
          <w:szCs w:val="28"/>
        </w:rPr>
      </w:pPr>
    </w:p>
    <w:p w:rsidR="0041525A" w:rsidRDefault="0041525A" w:rsidP="0041525A">
      <w:pPr>
        <w:tabs>
          <w:tab w:val="left" w:pos="6010"/>
        </w:tabs>
        <w:rPr>
          <w:sz w:val="28"/>
          <w:szCs w:val="28"/>
        </w:rPr>
      </w:pPr>
    </w:p>
    <w:bookmarkEnd w:id="0"/>
    <w:p w:rsidR="0041525A" w:rsidRDefault="0041525A" w:rsidP="0041525A">
      <w:pPr>
        <w:tabs>
          <w:tab w:val="left" w:pos="6010"/>
        </w:tabs>
        <w:rPr>
          <w:sz w:val="28"/>
          <w:szCs w:val="28"/>
        </w:rPr>
      </w:pPr>
    </w:p>
    <w:sectPr w:rsidR="0041525A" w:rsidSect="00100F52">
      <w:pgSz w:w="11906" w:h="16838"/>
      <w:pgMar w:top="720" w:right="99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24" w:rsidRDefault="004E6A24">
      <w:r>
        <w:separator/>
      </w:r>
    </w:p>
  </w:endnote>
  <w:endnote w:type="continuationSeparator" w:id="0">
    <w:p w:rsidR="004E6A24" w:rsidRDefault="004E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24" w:rsidRDefault="004E6A24">
      <w:r>
        <w:separator/>
      </w:r>
    </w:p>
  </w:footnote>
  <w:footnote w:type="continuationSeparator" w:id="0">
    <w:p w:rsidR="004E6A24" w:rsidRDefault="004E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37FA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1599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0F52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E6A24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0160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B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1E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68855-261A-4580-AFD2-12B25F25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5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rsid w:val="000437F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026D-9F6C-4D04-BD12-0BD36A05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2023-06-07T09:54:00Z</cp:lastPrinted>
  <dcterms:created xsi:type="dcterms:W3CDTF">2023-06-09T02:40:00Z</dcterms:created>
  <dcterms:modified xsi:type="dcterms:W3CDTF">2023-06-09T02:40:00Z</dcterms:modified>
</cp:coreProperties>
</file>