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11" w:rsidRPr="002470B0" w:rsidRDefault="00D31C11" w:rsidP="003722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D31C11" w:rsidRPr="002470B0" w:rsidRDefault="00D31C11" w:rsidP="00D31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постановлению администрации </w:t>
      </w:r>
    </w:p>
    <w:p w:rsidR="00D31C11" w:rsidRPr="002470B0" w:rsidRDefault="00EC0B4F" w:rsidP="00D31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Саракташскийц</w:t>
      </w:r>
      <w:proofErr w:type="spellEnd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поссовет</w:t>
      </w:r>
    </w:p>
    <w:p w:rsidR="00D31C11" w:rsidRPr="002470B0" w:rsidRDefault="00D31C11" w:rsidP="00D31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Саракташского</w:t>
      </w:r>
      <w:proofErr w:type="spellEnd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31C11" w:rsidRPr="002470B0" w:rsidRDefault="00D31C11" w:rsidP="00D31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Оренбургской области </w:t>
      </w:r>
    </w:p>
    <w:p w:rsidR="00D31C11" w:rsidRPr="002470B0" w:rsidRDefault="00D31C11" w:rsidP="00D31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372272"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372272"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. 2023 № 1</w:t>
      </w:r>
      <w:r w:rsidR="00372272"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50</w:t>
      </w: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D31C11" w:rsidRPr="002470B0" w:rsidRDefault="00D31C11" w:rsidP="00D31C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1C11" w:rsidRPr="002470B0" w:rsidRDefault="00D31C11" w:rsidP="00D3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31C11" w:rsidRPr="002470B0" w:rsidRDefault="00D31C11" w:rsidP="00D31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470B0">
        <w:rPr>
          <w:rFonts w:ascii="Times New Roman" w:hAnsi="Times New Roman" w:cs="Times New Roman"/>
          <w:b/>
          <w:bCs/>
          <w:sz w:val="28"/>
          <w:szCs w:val="28"/>
        </w:rPr>
        <w:t xml:space="preserve">порядке оплаты труда </w:t>
      </w: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лиц, исполняющих обязанности  по техническому обеспечению деятельности органов местного самоуправления  и </w:t>
      </w:r>
      <w:r w:rsidRPr="002470B0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обслуживающего персонала  администрации  муниципального образования  </w:t>
      </w:r>
      <w:proofErr w:type="spellStart"/>
      <w:r w:rsidR="00EC0B4F" w:rsidRPr="002470B0">
        <w:rPr>
          <w:rFonts w:ascii="Times New Roman" w:hAnsi="Times New Roman" w:cs="Times New Roman"/>
          <w:b/>
          <w:bCs/>
          <w:sz w:val="28"/>
          <w:szCs w:val="28"/>
        </w:rPr>
        <w:t>Саракташский</w:t>
      </w:r>
      <w:proofErr w:type="spellEnd"/>
      <w:r w:rsidR="00EC0B4F" w:rsidRPr="002470B0">
        <w:rPr>
          <w:rFonts w:ascii="Times New Roman" w:hAnsi="Times New Roman" w:cs="Times New Roman"/>
          <w:b/>
          <w:bCs/>
          <w:sz w:val="28"/>
          <w:szCs w:val="28"/>
        </w:rPr>
        <w:t xml:space="preserve"> поссовет</w:t>
      </w:r>
      <w:r w:rsidRPr="00247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0B0"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 w:rsidRPr="002470B0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D31C11" w:rsidRPr="002470B0" w:rsidRDefault="00D31C11" w:rsidP="00D31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оплаты труда лиц, исполняющих обязанности по техническому обеспечению деятельности органов местного самоуправления  и работников обслуживающего персонала администрации  муниципального образования  </w:t>
      </w:r>
      <w:proofErr w:type="spellStart"/>
      <w:r w:rsidR="00EC0B4F" w:rsidRPr="002470B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EC0B4F" w:rsidRPr="002470B0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24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0B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470B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EC0B4F" w:rsidRPr="002470B0">
        <w:rPr>
          <w:rFonts w:ascii="Times New Roman" w:hAnsi="Times New Roman" w:cs="Times New Roman"/>
          <w:sz w:val="28"/>
          <w:szCs w:val="28"/>
        </w:rPr>
        <w:t>.</w:t>
      </w:r>
      <w:r w:rsidRPr="00247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труда лиц,  исполняющих обязанности по техническому  обеспечению деятельности органов местного самоуправления  и </w:t>
      </w:r>
      <w:r w:rsidRPr="002470B0">
        <w:rPr>
          <w:rFonts w:ascii="Times New Roman" w:hAnsi="Times New Roman" w:cs="Times New Roman"/>
          <w:bCs/>
          <w:sz w:val="28"/>
          <w:szCs w:val="28"/>
        </w:rPr>
        <w:t xml:space="preserve">работников обслуживающего персонала администрации  муниципального образования  </w:t>
      </w:r>
      <w:proofErr w:type="spellStart"/>
      <w:r w:rsidR="00EC0B4F" w:rsidRPr="002470B0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="00EC0B4F" w:rsidRPr="002470B0">
        <w:rPr>
          <w:rFonts w:ascii="Times New Roman" w:hAnsi="Times New Roman" w:cs="Times New Roman"/>
          <w:bCs/>
          <w:sz w:val="28"/>
          <w:szCs w:val="28"/>
        </w:rPr>
        <w:t xml:space="preserve"> поссовет</w:t>
      </w:r>
      <w:r w:rsidRPr="002470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70B0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2470B0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, производится в виде денежного содержания, являющегося основным средством его материального обеспечения и стимулирования профессиональной деятельности.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C11" w:rsidRPr="002470B0" w:rsidRDefault="00D31C11" w:rsidP="00D3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. Денежное содержание лиц, исполняющих обязанности по техническому обеспечению деятельности органов местного самоуправления</w:t>
      </w:r>
    </w:p>
    <w:p w:rsidR="00D31C11" w:rsidRPr="002470B0" w:rsidRDefault="00D31C11" w:rsidP="00D3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C11" w:rsidRPr="002470B0" w:rsidRDefault="00D31C11" w:rsidP="00401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1.Денежное содержание лиц, исполняющих обязанности по техническому обеспечению деятельности органов местного самоуправления состоит из: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- должностного оклада;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- ежемесячной надбавки к должностному окладу за выслугу лет;</w:t>
      </w:r>
    </w:p>
    <w:p w:rsidR="00D31C11" w:rsidRPr="002470B0" w:rsidRDefault="00D31C11" w:rsidP="00D31C1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-  ежемесячного денежного поощрения;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- районного коэффициента;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- материальной помощи и иных выплат, предусмотренных законодательством.</w:t>
      </w:r>
    </w:p>
    <w:p w:rsidR="00D31C11" w:rsidRPr="002470B0" w:rsidRDefault="00D31C11" w:rsidP="004012EA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Федерации, к заработной плате лиц, исполняющих обязанности по техническому обеспечению деятельности органов местного самоуправления устанавливается районный коэффициент (коэффициент) – 1,15.</w:t>
      </w:r>
    </w:p>
    <w:p w:rsidR="00D31C11" w:rsidRPr="002470B0" w:rsidRDefault="00D31C11" w:rsidP="00401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2. Ежемесячная надбавка к должностному окладу за выслугу лет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Ежемесячная надбавка к должностному окладу за выслугу лет для лиц, исполняющих обязанности по техническому обеспечению деятельности, в зависимости от общего стажа работы, исчисленного в соответствии с Законом Оренбургской области от 12.09.2000 № 660/185-ОЗ «О стаже государственной (муниципальной) службы Оренбургской области» (включая периоды работы, связанные с техническим обеспечением функционирования этих органов и организаций), устанавливается в следующих размерах:</w:t>
      </w:r>
    </w:p>
    <w:p w:rsidR="00D31C11" w:rsidRPr="002470B0" w:rsidRDefault="00D31C11" w:rsidP="00D3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600"/>
        <w:gridCol w:w="540"/>
        <w:gridCol w:w="1791"/>
      </w:tblGrid>
      <w:tr w:rsidR="00D31C11" w:rsidRPr="002470B0">
        <w:tc>
          <w:tcPr>
            <w:tcW w:w="360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стаже работы:</w:t>
            </w:r>
          </w:p>
        </w:tc>
        <w:tc>
          <w:tcPr>
            <w:tcW w:w="54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(процентов)</w:t>
            </w:r>
          </w:p>
        </w:tc>
      </w:tr>
      <w:tr w:rsidR="00D31C11" w:rsidRPr="002470B0">
        <w:tc>
          <w:tcPr>
            <w:tcW w:w="360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 до 10 лет</w:t>
            </w:r>
          </w:p>
        </w:tc>
        <w:tc>
          <w:tcPr>
            <w:tcW w:w="54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1C11" w:rsidRPr="002470B0">
        <w:tc>
          <w:tcPr>
            <w:tcW w:w="360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54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1C11" w:rsidRPr="002470B0">
        <w:tc>
          <w:tcPr>
            <w:tcW w:w="360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 до 25 лет</w:t>
            </w:r>
          </w:p>
        </w:tc>
        <w:tc>
          <w:tcPr>
            <w:tcW w:w="54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1C11" w:rsidRPr="002470B0">
        <w:tc>
          <w:tcPr>
            <w:tcW w:w="360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25 лет</w:t>
            </w:r>
          </w:p>
        </w:tc>
        <w:tc>
          <w:tcPr>
            <w:tcW w:w="540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:rsidR="00D31C11" w:rsidRPr="002470B0" w:rsidRDefault="00D31C11" w:rsidP="00D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D31C11" w:rsidRPr="002470B0" w:rsidRDefault="00D31C11" w:rsidP="00D3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C11" w:rsidRPr="002470B0" w:rsidRDefault="00D31C11" w:rsidP="00401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3. Ежемесячное денежное поощрение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3.1. Ежемесячное денежное поощрение выплачивается лицам, исполняющим обязанности по техническому обеспечению деятельности органов местного самоуправления за счет фонда оплаты труда в пределах утвержденных ассигнований по смете на текущий финансовый год и может быть установлено до 650 процентов должностного оклада.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3.2. Размер ежемесячного денежного поощрения лицам, исполняющих обязанности по техническому обеспечению деятельности органов местного самоуправления устанавливается на основании  распоряжения главы </w:t>
      </w:r>
      <w:r w:rsidR="002A5F5A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>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3.4. </w:t>
      </w:r>
      <w:r w:rsidRPr="002470B0">
        <w:rPr>
          <w:rFonts w:ascii="Times New Roman" w:hAnsi="Times New Roman" w:cs="Times New Roman"/>
          <w:sz w:val="28"/>
          <w:szCs w:val="28"/>
          <w:u w:val="single"/>
        </w:rPr>
        <w:t>Условиями выплаты ежемесячного денежного поощрения являются</w:t>
      </w:r>
      <w:r w:rsidRPr="002470B0">
        <w:rPr>
          <w:rFonts w:ascii="Times New Roman" w:hAnsi="Times New Roman" w:cs="Times New Roman"/>
          <w:sz w:val="28"/>
          <w:szCs w:val="28"/>
        </w:rPr>
        <w:t>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3.4.1. своевременное и качественное выполнение функциональных обязанностей, определенных должностной инструкцией;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3.4.2.отсутствие нарушения трудовой дисциплины и правил внутреннего трудового распорядка.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3.5. </w:t>
      </w:r>
      <w:r w:rsidRPr="002470B0">
        <w:rPr>
          <w:rFonts w:ascii="Times New Roman" w:hAnsi="Times New Roman" w:cs="Times New Roman"/>
          <w:sz w:val="28"/>
          <w:szCs w:val="28"/>
          <w:u w:val="single"/>
        </w:rPr>
        <w:t>Условия снижения размера ежемесячного денежного поощрения</w:t>
      </w:r>
      <w:r w:rsidRPr="002470B0">
        <w:rPr>
          <w:rFonts w:ascii="Times New Roman" w:hAnsi="Times New Roman" w:cs="Times New Roman"/>
          <w:sz w:val="28"/>
          <w:szCs w:val="28"/>
        </w:rPr>
        <w:t>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3.5.1. ежемесячное денежное поощрение снижается: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r:id="rId4" w:anchor="Par134#Par134" w:history="1">
        <w:r w:rsidRPr="002470B0">
          <w:rPr>
            <w:rFonts w:ascii="Times New Roman" w:hAnsi="Times New Roman" w:cs="Times New Roman"/>
            <w:color w:val="0D0D0D"/>
            <w:sz w:val="28"/>
            <w:szCs w:val="28"/>
          </w:rPr>
          <w:t>п. 3.4..1</w:t>
        </w:r>
      </w:hyperlink>
      <w:r w:rsidRPr="002470B0">
        <w:rPr>
          <w:rFonts w:ascii="Times New Roman" w:hAnsi="Times New Roman" w:cs="Times New Roman"/>
          <w:sz w:val="28"/>
          <w:szCs w:val="28"/>
        </w:rPr>
        <w:t>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2470B0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r:id="rId5" w:anchor="Par136#Par136" w:history="1">
        <w:r w:rsidRPr="002470B0">
          <w:rPr>
            <w:rFonts w:ascii="Times New Roman" w:hAnsi="Times New Roman" w:cs="Times New Roman"/>
            <w:color w:val="0D0D0D"/>
            <w:sz w:val="28"/>
            <w:szCs w:val="28"/>
          </w:rPr>
          <w:t>п. 3</w:t>
        </w:r>
      </w:hyperlink>
      <w:r w:rsidRPr="002470B0">
        <w:rPr>
          <w:rFonts w:ascii="Times New Roman" w:hAnsi="Times New Roman" w:cs="Times New Roman"/>
          <w:sz w:val="28"/>
          <w:szCs w:val="28"/>
        </w:rPr>
        <w:t>.4.2.</w:t>
      </w:r>
      <w:r w:rsidRPr="002470B0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3.5.2. Снижение размера ежемесячного денежного поощрения является правом работодателя и может производиться как одновременно с привлечением работника к дисциплинарной ответственности, так и без него.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3.5.3. Срок снижения размера ежемесячного денежного поощрения может быть установлен от одного до трех месяцев.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4. Материальная помощь и иные выплаты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Лицам, исполняющим обязанности по техническому обеспечению деятельности органов местного самоуправления </w:t>
      </w: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выплачивается материальная</w:t>
      </w:r>
    </w:p>
    <w:p w:rsidR="00D31C11" w:rsidRPr="002470B0" w:rsidRDefault="00D31C11" w:rsidP="00D31C11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помощь,  единовременная выплата, 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>выплата ежеквартальной премии</w:t>
      </w: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и премия по результатам работы за год.</w:t>
      </w:r>
    </w:p>
    <w:p w:rsidR="00D31C11" w:rsidRPr="002470B0" w:rsidRDefault="00D31C11" w:rsidP="00401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оказании материальной помощи, единовременной выплате, ежеквартальной премии,  и выплате </w:t>
      </w: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премии по итогам работы за год, 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их конкретных размерах принимает глава </w:t>
      </w:r>
      <w:r w:rsidR="002A5F5A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4.1. Единовременная выплата при предоставлении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главы </w:t>
      </w:r>
      <w:r w:rsidR="002A5F5A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ежегодного оплачиваемого отпуска.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Единовременная выплата входит в состав денежного содержания и выплачивается с учетом районного коэффициента.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4.2. Лицам, исполняющим обязанности по техническому обеспечению деятельности органов местного самоуправления в связи со смертью близких родственников (родители,</w:t>
      </w:r>
      <w:r w:rsidR="002A5F5A" w:rsidRPr="002470B0">
        <w:rPr>
          <w:rFonts w:ascii="Times New Roman" w:hAnsi="Times New Roman" w:cs="Times New Roman"/>
          <w:sz w:val="28"/>
          <w:szCs w:val="28"/>
        </w:rPr>
        <w:t xml:space="preserve"> родных братьев и сестер, дедушки, бабушки,</w:t>
      </w:r>
      <w:r w:rsidRPr="002470B0">
        <w:rPr>
          <w:rFonts w:ascii="Times New Roman" w:hAnsi="Times New Roman" w:cs="Times New Roman"/>
          <w:sz w:val="28"/>
          <w:szCs w:val="28"/>
        </w:rPr>
        <w:t xml:space="preserve"> муж, жена, дети), в св</w:t>
      </w:r>
      <w:r w:rsidR="002A5F5A" w:rsidRPr="002470B0">
        <w:rPr>
          <w:rFonts w:ascii="Times New Roman" w:hAnsi="Times New Roman" w:cs="Times New Roman"/>
          <w:sz w:val="28"/>
          <w:szCs w:val="28"/>
        </w:rPr>
        <w:t>язи с юбилейными датами (50 лет, 55 лет, 60 лет, 65 лет</w:t>
      </w:r>
      <w:r w:rsidRPr="002470B0">
        <w:rPr>
          <w:rFonts w:ascii="Times New Roman" w:hAnsi="Times New Roman" w:cs="Times New Roman"/>
          <w:sz w:val="28"/>
          <w:szCs w:val="28"/>
        </w:rPr>
        <w:t>), по случаю бракосочетания (в случае вступления в брак впервые) и рождения ребенка выплачивается материальная помощь в размере одного должностного оклада (не более 1 раза в год) и предоставляется дополнительный оплачиваемый отпуск в количестве 3 дней.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Лица, исполняющие обязанности по техническому обеспечению деятельности органов местного самоуправления вместе с заявлением должны предоставить работодателю копию соответствующего документа, подтверждающего их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брака»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4.3. Решение о выплате премии лицам, исполняющим обязанности по техническому обеспечению деятельности органов местного самоуправления, принимается главой </w:t>
      </w:r>
      <w:r w:rsidR="002A5F5A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 xml:space="preserve">,  выплачивается в пределах средств фонда оплаты труда и максимальными размерами не ограничивается.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4.3.1. Основными показателями премирования являются: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выполнение работ, имеющих особую сложность;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своевременное либо досрочное выполнение на высоком профессиональном уровне сложных заданий и поручений главы </w:t>
      </w:r>
      <w:r w:rsidR="002A5F5A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4.3.2.Вновь принятым лицам, исполняющие обязанности по техническому обеспечению деятельности органов местного самоуправления, премия выплачивается пропорционально отработанному времени.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4.3.3.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lastRenderedPageBreak/>
        <w:t xml:space="preserve">4.3.4. Решение о выплате премии оформляется распоряжением главы </w:t>
      </w:r>
      <w:r w:rsidR="002A5F5A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4.4. </w:t>
      </w:r>
      <w:r w:rsidRPr="002470B0">
        <w:rPr>
          <w:rFonts w:ascii="Times New Roman" w:hAnsi="Times New Roman" w:cs="Times New Roman"/>
          <w:sz w:val="28"/>
          <w:szCs w:val="28"/>
          <w:u w:val="single"/>
        </w:rPr>
        <w:t>Премия по результатам работы за год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Премирование лиц, исполняющих обязанности по техническому обеспечению деятельности органов местного самоуправления </w:t>
      </w:r>
      <w:proofErr w:type="gramStart"/>
      <w:r w:rsidRPr="002470B0">
        <w:rPr>
          <w:rFonts w:ascii="Times New Roman" w:hAnsi="Times New Roman" w:cs="Times New Roman"/>
          <w:sz w:val="28"/>
          <w:szCs w:val="28"/>
        </w:rPr>
        <w:t>производится  в</w:t>
      </w:r>
      <w:proofErr w:type="gramEnd"/>
      <w:r w:rsidRPr="002470B0">
        <w:rPr>
          <w:rFonts w:ascii="Times New Roman" w:hAnsi="Times New Roman" w:cs="Times New Roman"/>
          <w:sz w:val="28"/>
          <w:szCs w:val="28"/>
        </w:rPr>
        <w:t xml:space="preserve">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выплачивается на основании </w:t>
      </w:r>
      <w:r w:rsidR="0006478B" w:rsidRPr="002470B0">
        <w:rPr>
          <w:rFonts w:ascii="Times New Roman" w:hAnsi="Times New Roman" w:cs="Times New Roman"/>
          <w:sz w:val="28"/>
          <w:szCs w:val="28"/>
        </w:rPr>
        <w:t>распоряжения</w:t>
      </w:r>
      <w:r w:rsidRPr="002470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478B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>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Право на получение премии по результатам работы не имеют лица, исполняющие обязанности по техническому обеспечению деятельности органов местного самоуправления, уволенные по основаниям, предусмотренным </w:t>
      </w:r>
      <w:hyperlink r:id="rId6" w:history="1">
        <w:r w:rsidRPr="002470B0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(собственное желание) за исключением случаев увольнения в связи: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с выходом на пенсию;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2470B0"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spellStart"/>
      <w:r w:rsidR="001D1B7D" w:rsidRPr="002470B0">
        <w:rPr>
          <w:rFonts w:ascii="Times New Roman" w:hAnsi="Times New Roman" w:cs="Times New Roman"/>
          <w:sz w:val="28"/>
          <w:szCs w:val="28"/>
        </w:rPr>
        <w:fldChar w:fldCharType="begin"/>
      </w:r>
      <w:r w:rsidR="00B9189F" w:rsidRPr="002470B0">
        <w:rPr>
          <w:rFonts w:ascii="Times New Roman" w:hAnsi="Times New Roman" w:cs="Times New Roman"/>
          <w:sz w:val="28"/>
          <w:szCs w:val="28"/>
        </w:rPr>
        <w:instrText>HYPERLINK "consultantplus://offline/ref=D99DBDF1065F578ABB7FA55C4133063448872B6629CA4F392E11472A2F817C8C575639B774S4EEF"</w:instrText>
      </w:r>
      <w:r w:rsidR="001D1B7D" w:rsidRPr="002470B0">
        <w:rPr>
          <w:rFonts w:ascii="Times New Roman" w:hAnsi="Times New Roman" w:cs="Times New Roman"/>
          <w:sz w:val="28"/>
          <w:szCs w:val="28"/>
        </w:rPr>
        <w:fldChar w:fldCharType="separate"/>
      </w:r>
      <w:r w:rsidRPr="002470B0">
        <w:rPr>
          <w:rFonts w:ascii="Times New Roman" w:hAnsi="Times New Roman" w:cs="Times New Roman"/>
          <w:color w:val="262626"/>
          <w:sz w:val="28"/>
          <w:szCs w:val="28"/>
        </w:rPr>
        <w:t>пп</w:t>
      </w:r>
      <w:proofErr w:type="spellEnd"/>
      <w:r w:rsidRPr="002470B0">
        <w:rPr>
          <w:rFonts w:ascii="Times New Roman" w:hAnsi="Times New Roman" w:cs="Times New Roman"/>
          <w:color w:val="262626"/>
          <w:sz w:val="28"/>
          <w:szCs w:val="28"/>
        </w:rPr>
        <w:t>. 1</w:t>
      </w:r>
      <w:r w:rsidR="001D1B7D" w:rsidRPr="002470B0">
        <w:rPr>
          <w:rFonts w:ascii="Times New Roman" w:hAnsi="Times New Roman" w:cs="Times New Roman"/>
          <w:sz w:val="28"/>
          <w:szCs w:val="28"/>
        </w:rPr>
        <w:fldChar w:fldCharType="end"/>
      </w:r>
      <w:r w:rsidRPr="002470B0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7" w:history="1">
        <w:r w:rsidRPr="002470B0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9.4.4. Премия не выплачивается: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8" w:history="1">
        <w:r w:rsidRPr="002470B0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4.5. Формирование фонда оплаты труда лиц, исполняющих обязанности по техническому обеспечению деятельности органов местного самоуправления.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4.5.1. При формировании фонда оплаты труда лиц, исполняющих обязанности по техническому обеспечению деятельности органов местного самоуправления, используется действующее штатное расписание (в расчете на год), 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одна премия по результатам работы за год   - в размере одного месячного фонда оплаты труда и материальная помощь - в размере одного должностного оклада без учета районного коэффициента.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4.5.2. Фонд оплаты труда лиц, исполняющих обязанности по техническому обеспечению деятельности органов местного самоуправления формируется также за счет средств на выплату районного коэффициента. </w:t>
      </w:r>
      <w:r w:rsidRPr="002470B0">
        <w:rPr>
          <w:rFonts w:ascii="Times New Roman" w:eastAsia="Calibri" w:hAnsi="Times New Roman" w:cs="Times New Roman"/>
          <w:sz w:val="28"/>
          <w:szCs w:val="28"/>
        </w:rPr>
        <w:lastRenderedPageBreak/>
        <w:t>Работодатель вправе перераспределять средства фонда оплаты труда между выплатами, предусмотренными подпунктом</w:t>
      </w:r>
      <w:hyperlink w:anchor="Par179" w:history="1">
        <w:r w:rsidRPr="002470B0">
          <w:rPr>
            <w:rFonts w:ascii="Times New Roman" w:eastAsia="Calibri" w:hAnsi="Times New Roman" w:cs="Times New Roman"/>
            <w:color w:val="262626"/>
            <w:sz w:val="28"/>
            <w:szCs w:val="28"/>
          </w:rPr>
          <w:t xml:space="preserve">  4.5.1</w:t>
        </w:r>
      </w:hyperlink>
      <w:r w:rsidRPr="002470B0">
        <w:rPr>
          <w:rFonts w:ascii="Times New Roman" w:eastAsia="Calibri" w:hAnsi="Times New Roman" w:cs="Times New Roman"/>
          <w:sz w:val="28"/>
          <w:szCs w:val="28"/>
        </w:rPr>
        <w:t>.  настоящего раздела.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4.5.3. Фонд оплаты труда лиц, исполняющих обязанности по техническому обеспечению деятельности органов местного самоуправления может быть увеличен за счет перераспределения расходов на текущее содержание и начислений на оплату труда в пределах сметы расходов</w:t>
      </w:r>
      <w:r w:rsidR="0006478B" w:rsidRPr="00247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C11" w:rsidRPr="002470B0" w:rsidRDefault="00D31C11" w:rsidP="00D3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Денежное содержание работников обслуживающего </w:t>
      </w:r>
      <w:proofErr w:type="gramStart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персонала  администрации</w:t>
      </w:r>
      <w:proofErr w:type="gramEnd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6478B"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Саракташский</w:t>
      </w:r>
      <w:proofErr w:type="spellEnd"/>
      <w:r w:rsidR="0006478B"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поссовет</w:t>
      </w:r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>Саракташского</w:t>
      </w:r>
      <w:proofErr w:type="spellEnd"/>
      <w:r w:rsidRPr="002470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1.1. Оплата труда, порядок и условия компенсационных выплат,  надбавки к должностному окладу (ставки заработной платы) за выслугу лет, ежемесячной премии, премии по результатам работы за год, единовременных выплат   и  материальной помощи работникам обслуживающего персонала администрации </w:t>
      </w:r>
      <w:proofErr w:type="spellStart"/>
      <w:r w:rsidR="0006478B" w:rsidRPr="002470B0">
        <w:rPr>
          <w:rFonts w:ascii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="0006478B"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0B0">
        <w:rPr>
          <w:rFonts w:ascii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(далее Положение) направлено на материальное стимулирование  результатов деятельности обслуживающего персонала и вводится в целях улучшения организации труда, рационального использования рабочего времени, укрепления трудовой и производственной  дисциплины.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 Оплата труда обслуживающего персонала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2.1.Оплата труда работников обслуживающего персонала состоит из: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1) должностного оклада </w:t>
      </w:r>
      <w:proofErr w:type="gramStart"/>
      <w:r w:rsidRPr="002470B0">
        <w:rPr>
          <w:rFonts w:ascii="Times New Roman" w:hAnsi="Times New Roman" w:cs="Times New Roman"/>
          <w:sz w:val="28"/>
          <w:szCs w:val="28"/>
          <w:lang w:eastAsia="ru-RU"/>
        </w:rPr>
        <w:t>( ставки</w:t>
      </w:r>
      <w:proofErr w:type="gramEnd"/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заработной платы);</w:t>
      </w:r>
    </w:p>
    <w:p w:rsidR="00D31C11" w:rsidRDefault="00D31C11" w:rsidP="00D31C11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2) повышающего коэффициента  за выслугу лет;</w:t>
      </w:r>
    </w:p>
    <w:p w:rsidR="002470B0" w:rsidRPr="002470B0" w:rsidRDefault="002470B0" w:rsidP="002470B0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>ежемесячного денежного поощрения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1C11" w:rsidRPr="002470B0" w:rsidRDefault="002470B0" w:rsidP="00D31C11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31C11" w:rsidRPr="002470B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C11"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выплат компенсационного характера </w:t>
      </w:r>
      <w:proofErr w:type="gramStart"/>
      <w:r w:rsidR="00D31C11" w:rsidRPr="002470B0">
        <w:rPr>
          <w:rFonts w:ascii="Times New Roman" w:hAnsi="Times New Roman" w:cs="Times New Roman"/>
          <w:sz w:val="28"/>
          <w:szCs w:val="28"/>
          <w:lang w:eastAsia="ru-RU"/>
        </w:rPr>
        <w:t>( за</w:t>
      </w:r>
      <w:proofErr w:type="gramEnd"/>
      <w:r w:rsidR="00D31C11"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в ночное время, в праздничные и выходн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дни, за сверхурочную работу).</w:t>
      </w:r>
    </w:p>
    <w:p w:rsidR="00D31C11" w:rsidRPr="002470B0" w:rsidRDefault="00D31C11" w:rsidP="00D31C11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Федерации, к заработной плате обслуживающего персонала устанавливается районный коэффициент (коэффициент) – 1,15.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труда, выплата надбавок  к должностному окладу (ставке заработной платы) за выслугу лет, выплаты компенсационного и стимулирующего характера обслуживающему персоналу администрации </w:t>
      </w:r>
      <w:r w:rsidR="00D145E8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  выплачиваются за счет фонда оплаты труда в пределах  утвержденных  ассигнований по смете.</w:t>
      </w:r>
    </w:p>
    <w:p w:rsidR="00D31C11" w:rsidRPr="002470B0" w:rsidRDefault="00D31C11" w:rsidP="00D31C11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color w:val="5C5B5B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2.1.  Размеры ставок заработной платы обслуживающего персонала.</w:t>
      </w:r>
      <w:r w:rsidRPr="002470B0">
        <w:rPr>
          <w:rFonts w:ascii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</w:p>
    <w:p w:rsidR="00D31C11" w:rsidRPr="002470B0" w:rsidRDefault="00D31C11" w:rsidP="00D31C11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Размеры окладов (ставок заработной платы),  работникам обслуживающего персонала устанавливаются  распоряжением  главы </w:t>
      </w:r>
      <w:r w:rsidR="00D145E8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>, с учетом сложности и объёма выполняемой работы.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 Повышающий коэффициент  за выслугу лет.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2.2.1.Обслуживающему персоналу устанавливаются повышающие коэффициенты к должностным </w:t>
      </w:r>
      <w:proofErr w:type="gramStart"/>
      <w:r w:rsidRPr="002470B0">
        <w:rPr>
          <w:rFonts w:ascii="Times New Roman" w:hAnsi="Times New Roman" w:cs="Times New Roman"/>
          <w:sz w:val="28"/>
          <w:szCs w:val="28"/>
          <w:lang w:eastAsia="ru-RU"/>
        </w:rPr>
        <w:t>окладам(</w:t>
      </w:r>
      <w:proofErr w:type="gramEnd"/>
      <w:r w:rsidRPr="002470B0">
        <w:rPr>
          <w:rFonts w:ascii="Times New Roman" w:hAnsi="Times New Roman" w:cs="Times New Roman"/>
          <w:sz w:val="28"/>
          <w:szCs w:val="28"/>
          <w:lang w:eastAsia="ru-RU"/>
        </w:rPr>
        <w:t>ставкам заработной платы):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-  за выслугу лет в органах местного самоуправления.     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Повышающие коэффициент к окладу за выслугу лет устанавливается обслуживающему персоналу в зависимости от общего количества лет, проработанных в местных органах самоуправления. В стаж работы, дающего право на установление повышающего коэффициента за выслугу лет, засчитывается время по уходу за  ребенком до достижения им возраста трёх лет.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Размеры повышающего коэффициента к окладу (ставке заработной платы) за выслугу  лет: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при выслуге лет от 1 года до 3 лет – до 0,10;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при выслуге лет от 3  до  5  лет       – до 0,15;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при выслуге лет свыше  5 лет         – до 0,20.</w:t>
      </w:r>
    </w:p>
    <w:p w:rsidR="00D31C11" w:rsidRPr="002470B0" w:rsidRDefault="00D31C11" w:rsidP="00D31C11">
      <w:pPr>
        <w:tabs>
          <w:tab w:val="left" w:pos="1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Изменение размера повышающего коэффициента к окладу за выслугу  лет производится со дня  достижения стажа, дающего право на увеличение размера коэффициента, на основании документов, подтверждающих стаж работы.</w:t>
      </w:r>
    </w:p>
    <w:p w:rsidR="00D31C11" w:rsidRPr="002470B0" w:rsidRDefault="00D31C11" w:rsidP="00D31C11">
      <w:pPr>
        <w:tabs>
          <w:tab w:val="left" w:pos="1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2.2.2. Размер выплаты по повышающим  коэффициентам к должностному окладу  определяется путем умножения  должностного оклада  работника на повышающий коэффициент.</w:t>
      </w:r>
    </w:p>
    <w:p w:rsidR="00D31C11" w:rsidRPr="002470B0" w:rsidRDefault="00D31C11" w:rsidP="00D31C11">
      <w:pPr>
        <w:tabs>
          <w:tab w:val="left" w:pos="1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2.2.3. Применение повышающих коэффициентов к должностному окладу не образует новый оклад и не учитывается  при начислении иных стимулирующих и компенсационных выплат, устанавливаемых в процентном отношении к окладу. </w:t>
      </w:r>
    </w:p>
    <w:p w:rsidR="00D31C11" w:rsidRPr="002470B0" w:rsidRDefault="00D31C11" w:rsidP="00D31C11">
      <w:pPr>
        <w:tabs>
          <w:tab w:val="left" w:pos="1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Выплаты по повышающим коэффициентам к должностному окладу  носят стимулирующий характер и устанавливаются на определённый период времени в течение соответствующего календарного года.</w:t>
      </w:r>
    </w:p>
    <w:p w:rsidR="00D31C11" w:rsidRPr="002470B0" w:rsidRDefault="00D31C11" w:rsidP="00D31C11">
      <w:pPr>
        <w:tabs>
          <w:tab w:val="left" w:pos="1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2.3. Порядок и условия выплат 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ежемесячного денежного поощрения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31C11" w:rsidRPr="002470B0" w:rsidRDefault="00D31C11" w:rsidP="00D31C11">
      <w:pPr>
        <w:tabs>
          <w:tab w:val="left" w:pos="1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2.3.1. </w:t>
      </w:r>
      <w:r w:rsidR="00D145E8" w:rsidRPr="002470B0">
        <w:rPr>
          <w:rFonts w:ascii="Times New Roman" w:hAnsi="Times New Roman" w:cs="Times New Roman"/>
          <w:sz w:val="28"/>
          <w:szCs w:val="28"/>
          <w:lang w:eastAsia="ru-RU"/>
        </w:rPr>
        <w:t>Ежемесячное денежное поощрение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с целью поощрения работников за общие результаты труда по итогам работы за месяц и учитывают: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31C11" w:rsidRPr="002470B0" w:rsidRDefault="00D31C11" w:rsidP="00D31C11">
      <w:pPr>
        <w:tabs>
          <w:tab w:val="left" w:pos="9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D31C11" w:rsidRPr="002470B0" w:rsidRDefault="00D31C11" w:rsidP="00D31C11">
      <w:pPr>
        <w:tabs>
          <w:tab w:val="left" w:pos="9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порученной работы, связанной с обеспечением безаварийной работы, ненормированным рабочим днем.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Обслуживающему персоналу выплачивается премия ежемесячно в следующих размерах: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рабочим из числа обслуживающего персонала (уборщикам служебных помещений</w:t>
      </w:r>
      <w:r w:rsidR="00D145E8" w:rsidRPr="002470B0">
        <w:rPr>
          <w:rFonts w:ascii="Times New Roman" w:hAnsi="Times New Roman" w:cs="Times New Roman"/>
          <w:sz w:val="28"/>
          <w:szCs w:val="28"/>
          <w:lang w:eastAsia="ru-RU"/>
        </w:rPr>
        <w:t>, сторожам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>) - до 750 процентов должностного оклада;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рабочим из числа обслуживающего персонала (водителям) - до 600 процентов от должностного оклада.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Конкретный р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азмер ежемесячной премии обслуживающему персоналу устанавливается на основании  распоряжения главы </w:t>
      </w:r>
      <w:r w:rsidR="00D145E8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2.3.2. Заработная плата работников, устанавливаемая в соответствии с системой оплаты труда, определённой настоящим Положением, не может быть меньше заработной платы, выплачиваемой  на основе Единой тарифной сетки по оплате труда работников администрации муниципального образования </w:t>
      </w:r>
      <w:proofErr w:type="spellStart"/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Саракташкий</w:t>
      </w:r>
      <w:proofErr w:type="spellEnd"/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0B0">
        <w:rPr>
          <w:rFonts w:ascii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при условии сохранения объёма должностных  обязанностей работников и выполнения ими работ той же  квалификации.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2.3.3. Основными условиями повышения размера 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ежемесячного денежного поощрения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 являются:</w:t>
      </w:r>
    </w:p>
    <w:p w:rsidR="00FF5681" w:rsidRPr="002470B0" w:rsidRDefault="00FF568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повышение МРОТ;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изменение существенных условий 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выполнение сложных и важных  работ по обеспечению деятельности  органов местного самоуправления;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проявление инициативы и творческого подхода к делу.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Если работник  в течение года не достиг условий, предусматривающих повышения премии, размер премии остается на прежнем уровне.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2.3.4. Изменение размера 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ежемесячного денежного поощрения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распоряжением главы 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C11" w:rsidRPr="002470B0" w:rsidRDefault="00D31C11" w:rsidP="00D31C11">
      <w:pPr>
        <w:tabs>
          <w:tab w:val="left" w:pos="9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.  При отсутствии или недостатке соответствующих (бюджетных) финансовых средств, глава 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D31C11" w:rsidRPr="002470B0" w:rsidRDefault="00D31C11" w:rsidP="00D31C11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2.4. Другие вопросы оплаты труда.  </w:t>
      </w:r>
    </w:p>
    <w:p w:rsidR="00D31C11" w:rsidRPr="002470B0" w:rsidRDefault="00D31C11" w:rsidP="00D31C11">
      <w:pPr>
        <w:spacing w:before="23" w:after="23" w:line="240" w:lineRule="auto"/>
        <w:ind w:firstLine="720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Работникам обслуживающего персонала выплачивается материальная помощь, единовременная выплата, выплата ежеквартальной премии,  и премия по результатам работы за год.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оказании материальной помощи, единовременной выплате, ежеквартальной премии  и премии по </w:t>
      </w:r>
      <w:r w:rsidRPr="002470B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результатам работы за год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и их конкретных размерах принимает глава 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.          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2.4.1.Единовременная выплата при предоставлении работникам обслуживающего персонала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главы 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ежегодного оплачиваемого отпуска.</w:t>
      </w:r>
      <w:r w:rsidR="00FF5681"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Единовременная выплата входит в состав денежного содержания и выплачивается с учетом районного коэффициента.</w:t>
      </w:r>
    </w:p>
    <w:p w:rsidR="00D31C11" w:rsidRPr="002470B0" w:rsidRDefault="00D31C11" w:rsidP="00D31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2.4.2. Работникам обслуживающего персонала </w:t>
      </w:r>
      <w:r w:rsidR="00FF5681" w:rsidRPr="002470B0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 (родители, родных братьев и сестер, дедушки, бабушки, муж, жена, дети), в связи с юбилейными датами (50 лет, 55 лет, 60 лет, 65 лет)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, по случаю бракосочетания (в случае вступления в брак впервые) и рождения ребёнка выплачивается материальная помощь в размере </w:t>
      </w:r>
      <w:proofErr w:type="gramStart"/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одного  </w:t>
      </w:r>
      <w:r w:rsidRPr="002470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должностного</w:t>
      </w:r>
      <w:proofErr w:type="gramEnd"/>
      <w:r w:rsidRPr="002470B0">
        <w:rPr>
          <w:rFonts w:ascii="Times New Roman" w:hAnsi="Times New Roman" w:cs="Times New Roman"/>
          <w:sz w:val="28"/>
          <w:szCs w:val="28"/>
          <w:lang w:eastAsia="ru-RU"/>
        </w:rPr>
        <w:t xml:space="preserve"> оклада (не более 1 раза в год) и предоставляется дополнительный оплачиваемый отпуск в количестве 3 дней.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Работник обслуживающего персонала администрации сельсовета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  2.4.3. Решение о выплате премии работникам обслуживающего персонала принимается главой </w:t>
      </w:r>
      <w:r w:rsidR="00FF5681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 xml:space="preserve">,  выплачивается в пределах средств фонда оплаты труда и максимальными размерами не ограничивается.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Основными показателями премирования являются: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выполнение работ, имеющих особую сложность;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своевременное либо досрочное выполнение на высоком профессиональном уровне сложных заданий и поручений главы муниципального образования, руководителя отраслевого (функционального) органа;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Вновь принятым работникам обслуживающего персонала премия выплачивается пропорционально отработанному времени.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Решение о выплате премии оформляется распоряжением главы </w:t>
      </w:r>
      <w:r w:rsidR="001E7826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2.4.4. </w:t>
      </w:r>
      <w:r w:rsidRPr="002470B0">
        <w:rPr>
          <w:rFonts w:ascii="Times New Roman" w:hAnsi="Times New Roman" w:cs="Times New Roman"/>
          <w:sz w:val="28"/>
          <w:szCs w:val="28"/>
          <w:u w:val="single"/>
        </w:rPr>
        <w:t>Премии по результатам работы за год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Премирование работников обслуживающего персонала </w:t>
      </w:r>
      <w:proofErr w:type="gramStart"/>
      <w:r w:rsidRPr="002470B0">
        <w:rPr>
          <w:rFonts w:ascii="Times New Roman" w:hAnsi="Times New Roman" w:cs="Times New Roman"/>
          <w:sz w:val="28"/>
          <w:szCs w:val="28"/>
        </w:rPr>
        <w:t>производится  в</w:t>
      </w:r>
      <w:proofErr w:type="gramEnd"/>
      <w:r w:rsidRPr="002470B0">
        <w:rPr>
          <w:rFonts w:ascii="Times New Roman" w:hAnsi="Times New Roman" w:cs="Times New Roman"/>
          <w:sz w:val="28"/>
          <w:szCs w:val="28"/>
        </w:rPr>
        <w:t xml:space="preserve">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Премия по результатам работы за год выплачивается на основании </w:t>
      </w:r>
      <w:r w:rsidR="001E7826" w:rsidRPr="002470B0">
        <w:rPr>
          <w:rFonts w:ascii="Times New Roman" w:hAnsi="Times New Roman" w:cs="Times New Roman"/>
          <w:sz w:val="28"/>
          <w:szCs w:val="28"/>
        </w:rPr>
        <w:t>распоряжения</w:t>
      </w:r>
      <w:r w:rsidRPr="002470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7826" w:rsidRPr="002470B0">
        <w:rPr>
          <w:rFonts w:ascii="Times New Roman" w:hAnsi="Times New Roman" w:cs="Times New Roman"/>
          <w:sz w:val="28"/>
          <w:szCs w:val="28"/>
        </w:rPr>
        <w:t>поссовета</w:t>
      </w:r>
      <w:r w:rsidRPr="002470B0">
        <w:rPr>
          <w:rFonts w:ascii="Times New Roman" w:hAnsi="Times New Roman" w:cs="Times New Roman"/>
          <w:sz w:val="28"/>
          <w:szCs w:val="28"/>
        </w:rPr>
        <w:t>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 Право на получение премии по результатам работы не имеют работники обслуживающего персонала, уволенные по основаниям, предусмотренным </w:t>
      </w:r>
      <w:hyperlink r:id="rId9" w:history="1">
        <w:r w:rsidRPr="002470B0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(собственное желание) за исключением случаев увольнения в связи: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с выходом на пенсию;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2470B0"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spellStart"/>
      <w:r w:rsidR="001D1B7D" w:rsidRPr="002470B0">
        <w:rPr>
          <w:rFonts w:ascii="Times New Roman" w:hAnsi="Times New Roman" w:cs="Times New Roman"/>
          <w:sz w:val="28"/>
          <w:szCs w:val="28"/>
        </w:rPr>
        <w:fldChar w:fldCharType="begin"/>
      </w:r>
      <w:r w:rsidR="00B9189F" w:rsidRPr="002470B0">
        <w:rPr>
          <w:rFonts w:ascii="Times New Roman" w:hAnsi="Times New Roman" w:cs="Times New Roman"/>
          <w:sz w:val="28"/>
          <w:szCs w:val="28"/>
        </w:rPr>
        <w:instrText>HYPERLINK "consultantplus://offline/ref=D99DBDF1065F578ABB7FA55C4133063448872B6629CA4F392E11472A2F817C8C575639B774S4EEF"</w:instrText>
      </w:r>
      <w:r w:rsidR="001D1B7D" w:rsidRPr="002470B0">
        <w:rPr>
          <w:rFonts w:ascii="Times New Roman" w:hAnsi="Times New Roman" w:cs="Times New Roman"/>
          <w:sz w:val="28"/>
          <w:szCs w:val="28"/>
        </w:rPr>
        <w:fldChar w:fldCharType="separate"/>
      </w:r>
      <w:r w:rsidRPr="002470B0">
        <w:rPr>
          <w:rFonts w:ascii="Times New Roman" w:hAnsi="Times New Roman" w:cs="Times New Roman"/>
          <w:color w:val="262626"/>
          <w:sz w:val="28"/>
          <w:szCs w:val="28"/>
        </w:rPr>
        <w:t>пп</w:t>
      </w:r>
      <w:proofErr w:type="spellEnd"/>
      <w:r w:rsidRPr="002470B0">
        <w:rPr>
          <w:rFonts w:ascii="Times New Roman" w:hAnsi="Times New Roman" w:cs="Times New Roman"/>
          <w:color w:val="262626"/>
          <w:sz w:val="28"/>
          <w:szCs w:val="28"/>
        </w:rPr>
        <w:t>. 1</w:t>
      </w:r>
      <w:r w:rsidR="001D1B7D" w:rsidRPr="002470B0">
        <w:rPr>
          <w:rFonts w:ascii="Times New Roman" w:hAnsi="Times New Roman" w:cs="Times New Roman"/>
          <w:sz w:val="28"/>
          <w:szCs w:val="28"/>
        </w:rPr>
        <w:fldChar w:fldCharType="end"/>
      </w:r>
      <w:r w:rsidRPr="002470B0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0" w:history="1">
        <w:r w:rsidRPr="002470B0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 Премия не выплачивается работникам обслуживающего персонала: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lastRenderedPageBreak/>
        <w:t>- принятым сроком до одного года;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D31C11" w:rsidRPr="002470B0" w:rsidRDefault="00D31C11" w:rsidP="00D31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- допустившим в течение года грубое нарушение трудовой дисциплины, предусмотренное Трудовым </w:t>
      </w:r>
      <w:hyperlink r:id="rId11" w:history="1">
        <w:r w:rsidRPr="002470B0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D31C11" w:rsidRPr="002470B0" w:rsidRDefault="00D31C11" w:rsidP="005377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2.5. Формирование фонда оплаты труда работников обслуживающего </w:t>
      </w:r>
      <w:proofErr w:type="gramStart"/>
      <w:r w:rsidRPr="002470B0">
        <w:rPr>
          <w:rFonts w:ascii="Times New Roman" w:eastAsia="Calibri" w:hAnsi="Times New Roman" w:cs="Times New Roman"/>
          <w:sz w:val="28"/>
          <w:szCs w:val="28"/>
        </w:rPr>
        <w:t>персонала  администрации</w:t>
      </w:r>
      <w:proofErr w:type="gramEnd"/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E7826" w:rsidRPr="002470B0">
        <w:rPr>
          <w:rFonts w:ascii="Times New Roman" w:eastAsia="Calibri" w:hAnsi="Times New Roman" w:cs="Times New Roman"/>
          <w:sz w:val="28"/>
          <w:szCs w:val="28"/>
        </w:rPr>
        <w:t>Саракташский</w:t>
      </w:r>
      <w:proofErr w:type="spellEnd"/>
      <w:r w:rsidR="001E7826" w:rsidRPr="002470B0">
        <w:rPr>
          <w:rFonts w:ascii="Times New Roman" w:eastAsia="Calibri" w:hAnsi="Times New Roman" w:cs="Times New Roman"/>
          <w:sz w:val="28"/>
          <w:szCs w:val="28"/>
        </w:rPr>
        <w:t xml:space="preserve"> поссовет</w:t>
      </w: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470B0">
        <w:rPr>
          <w:rFonts w:ascii="Times New Roman" w:eastAsia="Calibri" w:hAnsi="Times New Roman" w:cs="Times New Roman"/>
          <w:sz w:val="28"/>
          <w:szCs w:val="28"/>
        </w:rPr>
        <w:t>Саракташского</w:t>
      </w:r>
      <w:proofErr w:type="spellEnd"/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D31C11" w:rsidRPr="002470B0" w:rsidRDefault="00D31C11" w:rsidP="00537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2.5.1. При формировании фонда оплаты труда работников обслуживающего персонала  администрации муниципального образования </w:t>
      </w:r>
      <w:proofErr w:type="spellStart"/>
      <w:r w:rsidR="001E7826" w:rsidRPr="002470B0">
        <w:rPr>
          <w:rFonts w:ascii="Times New Roman" w:eastAsia="Calibri" w:hAnsi="Times New Roman" w:cs="Times New Roman"/>
          <w:sz w:val="28"/>
          <w:szCs w:val="28"/>
        </w:rPr>
        <w:t>Саракташский</w:t>
      </w:r>
      <w:proofErr w:type="spellEnd"/>
      <w:r w:rsidR="001E7826" w:rsidRPr="002470B0">
        <w:rPr>
          <w:rFonts w:ascii="Times New Roman" w:eastAsia="Calibri" w:hAnsi="Times New Roman" w:cs="Times New Roman"/>
          <w:sz w:val="28"/>
          <w:szCs w:val="28"/>
        </w:rPr>
        <w:t xml:space="preserve"> поссовет</w:t>
      </w: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470B0">
        <w:rPr>
          <w:rFonts w:ascii="Times New Roman" w:eastAsia="Calibri" w:hAnsi="Times New Roman" w:cs="Times New Roman"/>
          <w:sz w:val="28"/>
          <w:szCs w:val="28"/>
        </w:rPr>
        <w:t>Саракташского</w:t>
      </w:r>
      <w:proofErr w:type="spellEnd"/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района, используется действующее штатное расписание (в расчете на год), 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одна премия по результатам работы за год   - в размере одного месячного фонда оплаты труда и материальная помощь - в размере одного должностного оклада без учета районного коэффициента. </w:t>
      </w:r>
    </w:p>
    <w:p w:rsidR="00D31C11" w:rsidRPr="002470B0" w:rsidRDefault="00D31C11" w:rsidP="00537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2.5.2. Фонд оплаты труда работников обслуживающего </w:t>
      </w:r>
      <w:proofErr w:type="gramStart"/>
      <w:r w:rsidRPr="002470B0">
        <w:rPr>
          <w:rFonts w:ascii="Times New Roman" w:eastAsia="Calibri" w:hAnsi="Times New Roman" w:cs="Times New Roman"/>
          <w:sz w:val="28"/>
          <w:szCs w:val="28"/>
        </w:rPr>
        <w:t>персонала  администрации</w:t>
      </w:r>
      <w:proofErr w:type="gramEnd"/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E7826" w:rsidRPr="002470B0">
        <w:rPr>
          <w:rFonts w:ascii="Times New Roman" w:eastAsia="Calibri" w:hAnsi="Times New Roman" w:cs="Times New Roman"/>
          <w:sz w:val="28"/>
          <w:szCs w:val="28"/>
        </w:rPr>
        <w:t>Саракташский</w:t>
      </w:r>
      <w:proofErr w:type="spellEnd"/>
      <w:r w:rsidR="001E7826" w:rsidRPr="002470B0">
        <w:rPr>
          <w:rFonts w:ascii="Times New Roman" w:eastAsia="Calibri" w:hAnsi="Times New Roman" w:cs="Times New Roman"/>
          <w:sz w:val="28"/>
          <w:szCs w:val="28"/>
        </w:rPr>
        <w:t xml:space="preserve"> поссовет</w:t>
      </w: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470B0">
        <w:rPr>
          <w:rFonts w:ascii="Times New Roman" w:eastAsia="Calibri" w:hAnsi="Times New Roman" w:cs="Times New Roman"/>
          <w:sz w:val="28"/>
          <w:szCs w:val="28"/>
        </w:rPr>
        <w:t>Саракташского</w:t>
      </w:r>
      <w:proofErr w:type="spellEnd"/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района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подпунктом</w:t>
      </w:r>
      <w:hyperlink w:anchor="Par179" w:history="1">
        <w:r w:rsidRPr="002470B0">
          <w:rPr>
            <w:rFonts w:ascii="Times New Roman" w:eastAsia="Calibri" w:hAnsi="Times New Roman" w:cs="Times New Roman"/>
            <w:color w:val="262626"/>
            <w:sz w:val="28"/>
            <w:szCs w:val="28"/>
          </w:rPr>
          <w:t xml:space="preserve">  2.5.1</w:t>
        </w:r>
      </w:hyperlink>
      <w:r w:rsidRPr="002470B0">
        <w:rPr>
          <w:rFonts w:ascii="Times New Roman" w:eastAsia="Calibri" w:hAnsi="Times New Roman" w:cs="Times New Roman"/>
          <w:sz w:val="28"/>
          <w:szCs w:val="28"/>
        </w:rPr>
        <w:t>.  настоящего раздела.</w:t>
      </w:r>
    </w:p>
    <w:p w:rsidR="005377E7" w:rsidRPr="00744B7F" w:rsidRDefault="00D31C11" w:rsidP="00744B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2.5.3. Фонд оплаты труда работников обслуживающего </w:t>
      </w:r>
      <w:proofErr w:type="gramStart"/>
      <w:r w:rsidRPr="002470B0">
        <w:rPr>
          <w:rFonts w:ascii="Times New Roman" w:eastAsia="Calibri" w:hAnsi="Times New Roman" w:cs="Times New Roman"/>
          <w:sz w:val="28"/>
          <w:szCs w:val="28"/>
        </w:rPr>
        <w:t>персонала  администрации</w:t>
      </w:r>
      <w:proofErr w:type="gramEnd"/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E7826" w:rsidRPr="002470B0">
        <w:rPr>
          <w:rFonts w:ascii="Times New Roman" w:eastAsia="Calibri" w:hAnsi="Times New Roman" w:cs="Times New Roman"/>
          <w:sz w:val="28"/>
          <w:szCs w:val="28"/>
        </w:rPr>
        <w:t>Саракташский</w:t>
      </w:r>
      <w:proofErr w:type="spellEnd"/>
      <w:r w:rsidR="001E7826" w:rsidRPr="002470B0">
        <w:rPr>
          <w:rFonts w:ascii="Times New Roman" w:eastAsia="Calibri" w:hAnsi="Times New Roman" w:cs="Times New Roman"/>
          <w:sz w:val="28"/>
          <w:szCs w:val="28"/>
        </w:rPr>
        <w:t xml:space="preserve"> поссовет</w:t>
      </w:r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470B0">
        <w:rPr>
          <w:rFonts w:ascii="Times New Roman" w:eastAsia="Calibri" w:hAnsi="Times New Roman" w:cs="Times New Roman"/>
          <w:sz w:val="28"/>
          <w:szCs w:val="28"/>
        </w:rPr>
        <w:t>Саракташского</w:t>
      </w:r>
      <w:proofErr w:type="spellEnd"/>
      <w:r w:rsidRPr="002470B0">
        <w:rPr>
          <w:rFonts w:ascii="Times New Roman" w:eastAsia="Calibri" w:hAnsi="Times New Roman" w:cs="Times New Roman"/>
          <w:sz w:val="28"/>
          <w:szCs w:val="28"/>
        </w:rPr>
        <w:t xml:space="preserve"> района может быть увеличен за счет перераспределения расходов на текущее содержание и начислений на оплату труда в пределах сметы расходов.»</w:t>
      </w:r>
    </w:p>
    <w:p w:rsidR="00744B7F" w:rsidRPr="00744B7F" w:rsidRDefault="00744B7F" w:rsidP="00744B7F">
      <w:pPr>
        <w:spacing w:before="23" w:after="23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4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744B7F">
        <w:rPr>
          <w:rFonts w:ascii="Times New Roman" w:hAnsi="Times New Roman" w:cs="Times New Roman"/>
          <w:sz w:val="28"/>
          <w:szCs w:val="28"/>
        </w:rPr>
        <w:t xml:space="preserve"> Порядок и условия выплат компенсационного характера.</w:t>
      </w:r>
    </w:p>
    <w:p w:rsidR="00744B7F" w:rsidRPr="00744B7F" w:rsidRDefault="00744B7F" w:rsidP="0074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F">
        <w:rPr>
          <w:rFonts w:ascii="Times New Roman" w:hAnsi="Times New Roman" w:cs="Times New Roman"/>
          <w:sz w:val="28"/>
          <w:szCs w:val="28"/>
        </w:rPr>
        <w:t>Отдельным категориям работников из числа обслуживающего</w:t>
      </w:r>
    </w:p>
    <w:p w:rsidR="00744B7F" w:rsidRPr="00744B7F" w:rsidRDefault="00744B7F" w:rsidP="0074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F">
        <w:rPr>
          <w:rFonts w:ascii="Times New Roman" w:hAnsi="Times New Roman" w:cs="Times New Roman"/>
          <w:sz w:val="28"/>
          <w:szCs w:val="28"/>
        </w:rPr>
        <w:t>персонала (сторожам) ежемесячно выплачиваются следующие доплаты к должностному окладу (ставке заработной платы)</w:t>
      </w:r>
    </w:p>
    <w:p w:rsidR="00744B7F" w:rsidRPr="00744B7F" w:rsidRDefault="00744B7F" w:rsidP="0074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4B7F">
        <w:rPr>
          <w:rFonts w:ascii="Times New Roman" w:hAnsi="Times New Roman" w:cs="Times New Roman"/>
          <w:sz w:val="28"/>
          <w:szCs w:val="28"/>
        </w:rPr>
        <w:t>- за работу в ночное время работникам, занятым на работе в ночное время (с 22 до 6 часов), в размере 20 процентов часовой ставки заработной платы (должностного оклада, рассчитанного за час работы) за каждый час работы в ночное время;</w:t>
      </w:r>
    </w:p>
    <w:p w:rsidR="00744B7F" w:rsidRPr="00744B7F" w:rsidRDefault="00744B7F" w:rsidP="00744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F">
        <w:rPr>
          <w:rFonts w:ascii="Times New Roman" w:hAnsi="Times New Roman" w:cs="Times New Roman"/>
          <w:sz w:val="28"/>
          <w:szCs w:val="28"/>
        </w:rPr>
        <w:t xml:space="preserve">            - за работу в выходные и нерабочие праздничные дни в двойном размере часовой тарифной ставки;</w:t>
      </w:r>
    </w:p>
    <w:p w:rsidR="00744B7F" w:rsidRPr="00744B7F" w:rsidRDefault="00744B7F" w:rsidP="00744B7F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F">
        <w:rPr>
          <w:rFonts w:ascii="Times New Roman" w:hAnsi="Times New Roman" w:cs="Times New Roman"/>
          <w:sz w:val="28"/>
          <w:szCs w:val="28"/>
        </w:rPr>
        <w:t xml:space="preserve">            - за сверхурочную работу - за первые 2 часа работы в полуторном размере, за последующие часы работы в двойном размере часовой тарифной ставки. </w:t>
      </w:r>
    </w:p>
    <w:p w:rsidR="00744B7F" w:rsidRPr="00744B7F" w:rsidRDefault="00744B7F" w:rsidP="00744B7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4B7F">
        <w:rPr>
          <w:rFonts w:ascii="Times New Roman" w:hAnsi="Times New Roman" w:cs="Times New Roman"/>
          <w:sz w:val="28"/>
          <w:szCs w:val="28"/>
        </w:rPr>
        <w:t xml:space="preserve">             Обслуживающему персоналу (сторожам) за дополнительную работу, не предусмотренную должностной инструкцией, производится доплата в </w:t>
      </w:r>
      <w:r w:rsidRPr="00744B7F">
        <w:rPr>
          <w:rFonts w:ascii="Times New Roman" w:hAnsi="Times New Roman" w:cs="Times New Roman"/>
          <w:sz w:val="28"/>
          <w:szCs w:val="28"/>
        </w:rPr>
        <w:lastRenderedPageBreak/>
        <w:t>размере, установленном распоряжением главы администрации района. О предстоящих изменениях условий трудового договора извещать работника за два месяца, согласно ст. 74 ТК РФ.</w:t>
      </w:r>
    </w:p>
    <w:p w:rsidR="005377E7" w:rsidRPr="002470B0" w:rsidRDefault="005377E7" w:rsidP="00D31C11">
      <w:pPr>
        <w:pStyle w:val="ConsPlusNormal"/>
        <w:ind w:left="432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377E7" w:rsidRPr="002470B0" w:rsidRDefault="005377E7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0B0" w:rsidRDefault="002470B0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0B0" w:rsidRPr="002470B0" w:rsidRDefault="002470B0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D31C11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Default="00372272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4B7F" w:rsidRPr="002470B0" w:rsidRDefault="00744B7F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272" w:rsidRPr="002470B0" w:rsidRDefault="00372272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C11" w:rsidRPr="002470B0" w:rsidRDefault="00D31C11" w:rsidP="00372272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</w:p>
    <w:p w:rsidR="00D31C11" w:rsidRPr="002470B0" w:rsidRDefault="00D31C11" w:rsidP="00D31C11">
      <w:pPr>
        <w:pStyle w:val="ConsPlusNormal"/>
        <w:ind w:left="43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Положению о </w:t>
      </w:r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порядке оплаты труда </w:t>
      </w:r>
      <w:r w:rsidRPr="00247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лиц, исполняющих обязанности по техническому обеспечению деятельности органов местного самоуправления  и </w:t>
      </w:r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работников обслуживающего персонала администрации  муниципального образования   </w:t>
      </w:r>
      <w:proofErr w:type="spellStart"/>
      <w:r w:rsidR="001E7826"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Саракташский</w:t>
      </w:r>
      <w:proofErr w:type="spellEnd"/>
      <w:r w:rsidR="001E7826"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поссовет</w:t>
      </w:r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Саракташского</w:t>
      </w:r>
      <w:proofErr w:type="spellEnd"/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Оренбургской области  </w:t>
      </w:r>
    </w:p>
    <w:p w:rsidR="00D31C11" w:rsidRPr="002470B0" w:rsidRDefault="00D31C11" w:rsidP="00D31C11">
      <w:pPr>
        <w:pStyle w:val="ConsPlusNormal"/>
        <w:ind w:left="48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C11" w:rsidRPr="002470B0" w:rsidRDefault="00D31C11" w:rsidP="00D31C11">
      <w:pPr>
        <w:pStyle w:val="ConsPlusNormal"/>
        <w:ind w:left="48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C11" w:rsidRPr="002470B0" w:rsidRDefault="00D31C11" w:rsidP="00D31C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Единая схема</w:t>
      </w:r>
    </w:p>
    <w:p w:rsidR="00D31C11" w:rsidRPr="002470B0" w:rsidRDefault="00D31C11" w:rsidP="00D31C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должностных окладов лиц,  исполняющих обязанности по техническому обеспечению деятельности органов местного самоуправления  и работников обслуживающего персонала администрации  муниципального образования   </w:t>
      </w:r>
      <w:proofErr w:type="spellStart"/>
      <w:r w:rsidR="001E7826"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Саракташский</w:t>
      </w:r>
      <w:proofErr w:type="spellEnd"/>
      <w:r w:rsidR="001E7826"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поссовет</w:t>
      </w:r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Саракташского</w:t>
      </w:r>
      <w:proofErr w:type="spellEnd"/>
      <w:r w:rsidRPr="002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Оренбургской области  </w:t>
      </w:r>
    </w:p>
    <w:p w:rsidR="00D31C11" w:rsidRPr="002470B0" w:rsidRDefault="00D31C11" w:rsidP="00D31C11">
      <w:pPr>
        <w:spacing w:after="0" w:line="240" w:lineRule="auto"/>
        <w:ind w:firstLine="720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03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135"/>
        <w:gridCol w:w="5345"/>
        <w:gridCol w:w="2551"/>
      </w:tblGrid>
      <w:tr w:rsidR="00D31C11" w:rsidRPr="002470B0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proofErr w:type="spellEnd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  <w:proofErr w:type="spellEnd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proofErr w:type="spellEnd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31C11" w:rsidRPr="002470B0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Делопроизводитель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1E7826" w:rsidP="00D31C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4285</w:t>
            </w:r>
          </w:p>
        </w:tc>
      </w:tr>
      <w:tr w:rsidR="00D31C11" w:rsidRPr="002470B0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1E7826" w:rsidP="00D31C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3719</w:t>
            </w:r>
          </w:p>
        </w:tc>
      </w:tr>
      <w:tr w:rsidR="00D31C11" w:rsidRPr="002470B0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D31C11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служебных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11" w:rsidRPr="002470B0" w:rsidRDefault="001E7826" w:rsidP="00D31C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2547</w:t>
            </w:r>
          </w:p>
        </w:tc>
      </w:tr>
      <w:tr w:rsidR="001E7826" w:rsidRPr="002470B0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6" w:rsidRPr="002470B0" w:rsidRDefault="001E7826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6" w:rsidRPr="002470B0" w:rsidRDefault="001E7826" w:rsidP="00D31C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6" w:rsidRPr="002470B0" w:rsidRDefault="001E7826" w:rsidP="00D31C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2547</w:t>
            </w:r>
          </w:p>
        </w:tc>
      </w:tr>
    </w:tbl>
    <w:p w:rsidR="00D31C11" w:rsidRPr="002470B0" w:rsidRDefault="00D31C11" w:rsidP="00D31C11">
      <w:pPr>
        <w:rPr>
          <w:rFonts w:ascii="Arial" w:hAnsi="Arial" w:cs="Arial"/>
          <w:sz w:val="28"/>
          <w:szCs w:val="28"/>
        </w:rPr>
      </w:pPr>
    </w:p>
    <w:p w:rsidR="00D31C11" w:rsidRPr="002470B0" w:rsidRDefault="00D31C11" w:rsidP="00D31C1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936A6E" w:rsidRPr="001A7052" w:rsidRDefault="00936A6E">
      <w:pPr>
        <w:rPr>
          <w:rFonts w:ascii="Arial" w:hAnsi="Arial" w:cs="Arial"/>
          <w:sz w:val="24"/>
          <w:szCs w:val="24"/>
        </w:rPr>
      </w:pPr>
    </w:p>
    <w:p w:rsidR="001A7052" w:rsidRDefault="001A7052"/>
    <w:sectPr w:rsidR="001A7052" w:rsidSect="002470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11"/>
    <w:rsid w:val="000545AD"/>
    <w:rsid w:val="0006478B"/>
    <w:rsid w:val="001A7052"/>
    <w:rsid w:val="001D1B7D"/>
    <w:rsid w:val="001E7826"/>
    <w:rsid w:val="002470B0"/>
    <w:rsid w:val="002A5F5A"/>
    <w:rsid w:val="002F7EFF"/>
    <w:rsid w:val="003470FD"/>
    <w:rsid w:val="0036615F"/>
    <w:rsid w:val="00372272"/>
    <w:rsid w:val="003B7AD2"/>
    <w:rsid w:val="004012EA"/>
    <w:rsid w:val="004F00C7"/>
    <w:rsid w:val="005377E7"/>
    <w:rsid w:val="005D7B7F"/>
    <w:rsid w:val="006B14FD"/>
    <w:rsid w:val="006E0253"/>
    <w:rsid w:val="00733D77"/>
    <w:rsid w:val="00744B7F"/>
    <w:rsid w:val="00765103"/>
    <w:rsid w:val="00780344"/>
    <w:rsid w:val="008765CD"/>
    <w:rsid w:val="00936A6E"/>
    <w:rsid w:val="009C1B6A"/>
    <w:rsid w:val="00AC3F1A"/>
    <w:rsid w:val="00B61D75"/>
    <w:rsid w:val="00B9189F"/>
    <w:rsid w:val="00BA7EE2"/>
    <w:rsid w:val="00BB2AD2"/>
    <w:rsid w:val="00C43B8F"/>
    <w:rsid w:val="00C51C01"/>
    <w:rsid w:val="00D145E8"/>
    <w:rsid w:val="00D31C11"/>
    <w:rsid w:val="00EC0B4F"/>
    <w:rsid w:val="00F301CC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2F89D-2CCA-4A47-B391-9B93DB5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1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D31C1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D31C11"/>
    <w:pPr>
      <w:widowControl w:val="0"/>
      <w:autoSpaceDE w:val="0"/>
      <w:autoSpaceDN w:val="0"/>
    </w:pPr>
    <w:rPr>
      <w:rFonts w:ascii="Calibri" w:hAnsi="Calibri" w:cs="Calibri"/>
      <w:sz w:val="22"/>
      <w:lang w:val="en-US"/>
    </w:rPr>
  </w:style>
  <w:style w:type="paragraph" w:customStyle="1" w:styleId="ConsPlusCell">
    <w:name w:val="ConsPlusCell"/>
    <w:rsid w:val="00D31C11"/>
    <w:pPr>
      <w:autoSpaceDE w:val="0"/>
      <w:autoSpaceDN w:val="0"/>
      <w:adjustRightInd w:val="0"/>
    </w:pPr>
    <w:rPr>
      <w:rFonts w:ascii="Arial" w:hAnsi="Arial" w:cs="Arial"/>
      <w:sz w:val="2"/>
      <w:szCs w:val="2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D31C11"/>
    <w:rPr>
      <w:rFonts w:ascii="Calibri" w:hAnsi="Calibri" w:cs="Calibri"/>
      <w:sz w:val="22"/>
      <w:lang w:val="en-US" w:eastAsia="ru-RU" w:bidi="ar-SA"/>
    </w:rPr>
  </w:style>
  <w:style w:type="paragraph" w:styleId="a3">
    <w:name w:val="Balloon Text"/>
    <w:basedOn w:val="a"/>
    <w:link w:val="a4"/>
    <w:rsid w:val="003B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7AD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4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A55C4133063448872B6629CA4F392E11472A2FS8E1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9DBDF1065F578ABB7FA55C4133063448872B6629CA4F392E11472A2F817C8C575639B774S4E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9DBDF1065F578ABB7FA55C4133063448872B6629CA4F392E11472A2F817C8C575639B27D4884D7S4E7F" TargetMode="External"/><Relationship Id="rId11" Type="http://schemas.openxmlformats.org/officeDocument/2006/relationships/hyperlink" Target="consultantplus://offline/ref=D99DBDF1065F578ABB7FA55C4133063448872B6629CA4F392E11472A2FS8E1F" TargetMode="External"/><Relationship Id="rId5" Type="http://schemas.openxmlformats.org/officeDocument/2006/relationships/hyperlink" Target="file:///C:\Users\User\Desktop\&#1055;&#1086;&#1089;&#1090;&#1072;&#1085;&#1086;&#1074;&#1083;&#1077;&#1085;&#1080;&#1077;%20&#1075;&#1083;&#1072;&#1074;&#1099;%20&#1072;&#1076;&#1084;\2019\&#1086;&#1082;&#1090;&#1103;&#1073;&#1088;&#1100;.doc" TargetMode="External"/><Relationship Id="rId10" Type="http://schemas.openxmlformats.org/officeDocument/2006/relationships/hyperlink" Target="consultantplus://offline/ref=D99DBDF1065F578ABB7FA55C4133063448872B6629CA4F392E11472A2F817C8C575639B774S4EFF" TargetMode="External"/><Relationship Id="rId4" Type="http://schemas.openxmlformats.org/officeDocument/2006/relationships/hyperlink" Target="file:///C:\Users\User\Desktop\&#1055;&#1086;&#1089;&#1090;&#1072;&#1085;&#1086;&#1074;&#1083;&#1077;&#1085;&#1080;&#1077;%20&#1075;&#1083;&#1072;&#1074;&#1099;%20&#1072;&#1076;&#1084;\2019\&#1086;&#1082;&#1090;&#1103;&#1073;&#1088;&#1100;.doc" TargetMode="External"/><Relationship Id="rId9" Type="http://schemas.openxmlformats.org/officeDocument/2006/relationships/hyperlink" Target="consultantplus://offline/ref=D99DBDF1065F578ABB7FA55C4133063448872B6629CA4F392E11472A2F817C8C575639B27D4884D7S4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Links>
    <vt:vector size="72" baseType="variant">
      <vt:variant>
        <vt:i4>6881333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68682787</vt:i4>
      </vt:variant>
      <vt:variant>
        <vt:i4>3</vt:i4>
      </vt:variant>
      <vt:variant>
        <vt:i4>0</vt:i4>
      </vt:variant>
      <vt:variant>
        <vt:i4>5</vt:i4>
      </vt:variant>
      <vt:variant>
        <vt:lpwstr>../../../AppData/Постановление главы адм/2019/октябрь.doc</vt:lpwstr>
      </vt:variant>
      <vt:variant>
        <vt:lpwstr>Par136#Par136</vt:lpwstr>
      </vt:variant>
      <vt:variant>
        <vt:i4>68813859</vt:i4>
      </vt:variant>
      <vt:variant>
        <vt:i4>0</vt:i4>
      </vt:variant>
      <vt:variant>
        <vt:i4>0</vt:i4>
      </vt:variant>
      <vt:variant>
        <vt:i4>5</vt:i4>
      </vt:variant>
      <vt:variant>
        <vt:lpwstr>../../../AppData/Постановление главы адм/2019/октябрь.doc</vt:lpwstr>
      </vt:variant>
      <vt:variant>
        <vt:lpwstr>Par134#Par134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2023-05-17T10:51:00Z</cp:lastPrinted>
  <dcterms:created xsi:type="dcterms:W3CDTF">2023-07-26T12:48:00Z</dcterms:created>
  <dcterms:modified xsi:type="dcterms:W3CDTF">2023-07-26T12:48:00Z</dcterms:modified>
</cp:coreProperties>
</file>