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_GoBack"/>
      <w:bookmarkEnd w:id="0"/>
      <w:r w:rsidRPr="00216A4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</w:rPr>
        <w:t xml:space="preserve">администрации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216A49">
        <w:rPr>
          <w:bCs/>
          <w:sz w:val="28"/>
          <w:szCs w:val="28"/>
        </w:rPr>
        <w:t>МО  Саракташск</w:t>
      </w:r>
      <w:r>
        <w:rPr>
          <w:bCs/>
          <w:sz w:val="28"/>
          <w:szCs w:val="28"/>
        </w:rPr>
        <w:t>ий</w:t>
      </w:r>
      <w:r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>
        <w:rPr>
          <w:bCs/>
          <w:sz w:val="28"/>
          <w:szCs w:val="28"/>
          <w:u w:val="single"/>
        </w:rPr>
        <w:t xml:space="preserve">                               №            -п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>
        <w:rPr>
          <w:b/>
          <w:bCs/>
          <w:sz w:val="28"/>
          <w:szCs w:val="28"/>
        </w:rPr>
        <w:t>9-2025</w:t>
      </w:r>
      <w:r w:rsidRPr="00D913DB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lastRenderedPageBreak/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2019-2025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ели и 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условий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домов, признанных до 1 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эффективность использования бюджетных средств, в том числе полученных за счет средств Фонда, 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-реализация механизмов переселения граждан из непригодного для проживания жилищного фонда, обеспечивающих соблюдение их жилищных прав,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-привлечение финансовой поддержки за счет средств Фонда содействия реформированию жилищно-коммунального хозяйства (далее – Фонд);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-регулирование отношений между  Фондом содействия реформированию жилищно-коммунального хозяйства,</w:t>
            </w:r>
            <w:r>
              <w:rPr>
                <w:color w:val="000000"/>
                <w:sz w:val="28"/>
                <w:szCs w:val="28"/>
              </w:rPr>
              <w:t xml:space="preserve"> Правительством Оренбургской области и</w:t>
            </w:r>
            <w:r w:rsidRPr="00A00BF7">
              <w:rPr>
                <w:color w:val="000000"/>
                <w:sz w:val="28"/>
                <w:szCs w:val="28"/>
              </w:rPr>
              <w:t xml:space="preserve"> муниципальным о</w:t>
            </w:r>
            <w:r>
              <w:rPr>
                <w:color w:val="000000"/>
                <w:sz w:val="28"/>
                <w:szCs w:val="28"/>
              </w:rPr>
              <w:t>бразованием Саракташский поссовет;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жилищного фонда, необходимого для переселения граждан из аварийных жилых помещений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>
              <w:rPr>
                <w:noProof/>
                <w:color w:val="000000"/>
                <w:sz w:val="28"/>
                <w:szCs w:val="28"/>
              </w:rPr>
              <w:t>9</w:t>
            </w:r>
            <w:r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25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2019 года – срок реализации до 31.12.2020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2020 года – срок реализации до 31.12.2021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2021 года – срок реализации до 31.12.2022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2022 года – срок реализации до 31.12.2023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2023 года – срок реализации до 31.12.2024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2024 года – срок реализации до 01.09.2025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Pr="00A00BF7">
              <w:rPr>
                <w:color w:val="000000"/>
                <w:sz w:val="28"/>
                <w:szCs w:val="28"/>
              </w:rPr>
              <w:t xml:space="preserve"> признанных до 1 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эксплуатации;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00BF7">
              <w:rPr>
                <w:color w:val="000000"/>
                <w:sz w:val="28"/>
                <w:szCs w:val="28"/>
              </w:rPr>
              <w:t xml:space="preserve">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25годах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Pr="00384F90">
              <w:rPr>
                <w:b/>
                <w:color w:val="000000"/>
                <w:sz w:val="28"/>
                <w:szCs w:val="28"/>
              </w:rPr>
              <w:t>70 </w:t>
            </w:r>
            <w:r>
              <w:rPr>
                <w:b/>
                <w:color w:val="000000"/>
                <w:sz w:val="28"/>
                <w:szCs w:val="28"/>
              </w:rPr>
              <w:t>912 128</w:t>
            </w:r>
            <w:r w:rsidRPr="00A00BF7">
              <w:rPr>
                <w:color w:val="000000"/>
                <w:sz w:val="28"/>
                <w:szCs w:val="28"/>
              </w:rPr>
              <w:t xml:space="preserve"> 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b/>
                <w:color w:val="000000"/>
                <w:sz w:val="28"/>
                <w:szCs w:val="28"/>
              </w:rPr>
              <w:t xml:space="preserve">68 075 </w:t>
            </w:r>
            <w:r w:rsidR="00F5096C">
              <w:rPr>
                <w:b/>
                <w:color w:val="000000"/>
                <w:sz w:val="28"/>
                <w:szCs w:val="28"/>
              </w:rPr>
              <w:t>6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Pr="00A00BF7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  </w:t>
            </w:r>
          </w:p>
          <w:p w:rsidR="00823862" w:rsidRDefault="00CA7E76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2 808 </w:t>
            </w:r>
            <w:r w:rsidR="00F5096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00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рублей;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A00BF7" w:rsidRDefault="00F5096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CA7E76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="00CA7E76">
              <w:rPr>
                <w:b/>
                <w:color w:val="000000"/>
                <w:sz w:val="28"/>
                <w:szCs w:val="28"/>
              </w:rPr>
              <w:t>28</w:t>
            </w:r>
            <w:r w:rsidR="00823862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в том числе :                     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2019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2020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384F90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лей.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2021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384F90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лей.</w:t>
            </w:r>
          </w:p>
          <w:p w:rsidR="00823862" w:rsidRPr="00CA7E76" w:rsidRDefault="00823862" w:rsidP="00CA7E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0 </w:t>
            </w:r>
            <w:r w:rsidR="00CA7E76" w:rsidRPr="00CA7E76">
              <w:rPr>
                <w:color w:val="000000"/>
                <w:sz w:val="28"/>
                <w:szCs w:val="28"/>
              </w:rPr>
              <w:t>рублей.</w:t>
            </w:r>
          </w:p>
          <w:p w:rsidR="00CA7E76" w:rsidRDefault="00823862" w:rsidP="00CA7E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2023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CA7E76" w:rsidRPr="00532247">
              <w:rPr>
                <w:b/>
                <w:color w:val="000000"/>
                <w:sz w:val="28"/>
                <w:szCs w:val="28"/>
              </w:rPr>
              <w:t>64</w:t>
            </w:r>
            <w:r w:rsidR="00CA7E76">
              <w:rPr>
                <w:b/>
                <w:color w:val="000000"/>
                <w:sz w:val="28"/>
                <w:szCs w:val="28"/>
              </w:rPr>
              <w:t> 126 476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рублей</w:t>
            </w:r>
            <w:r w:rsidR="00CA7E76">
              <w:rPr>
                <w:color w:val="000000"/>
                <w:sz w:val="28"/>
                <w:szCs w:val="28"/>
              </w:rPr>
              <w:t>, в том числе: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                                                 -средства Фонда</w:t>
            </w:r>
            <w:r w:rsidR="00CA7E76">
              <w:rPr>
                <w:color w:val="000000"/>
                <w:sz w:val="28"/>
                <w:szCs w:val="28"/>
              </w:rPr>
              <w:t xml:space="preserve"> 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</w:t>
            </w:r>
            <w:r w:rsidR="00CA7E76">
              <w:rPr>
                <w:color w:val="000000"/>
                <w:sz w:val="28"/>
                <w:szCs w:val="28"/>
              </w:rPr>
              <w:t>–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</w:t>
            </w:r>
            <w:r w:rsidR="00F5096C">
              <w:rPr>
                <w:b/>
                <w:color w:val="000000"/>
                <w:sz w:val="28"/>
                <w:szCs w:val="28"/>
              </w:rPr>
              <w:t>61 561 4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рублей;                              -средства областного бюджета</w:t>
            </w:r>
            <w:r w:rsidR="00CA7E76">
              <w:rPr>
                <w:color w:val="000000"/>
                <w:sz w:val="28"/>
                <w:szCs w:val="28"/>
              </w:rPr>
              <w:t xml:space="preserve"> 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CA7E76" w:rsidRPr="00532247">
              <w:rPr>
                <w:b/>
                <w:color w:val="000000"/>
                <w:sz w:val="28"/>
                <w:szCs w:val="28"/>
              </w:rPr>
              <w:t>2</w:t>
            </w:r>
            <w:r w:rsidR="00F5096C">
              <w:rPr>
                <w:b/>
                <w:color w:val="000000"/>
                <w:sz w:val="28"/>
                <w:szCs w:val="28"/>
              </w:rPr>
              <w:t> 539 4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="00CA7E76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A7E76" w:rsidRPr="00A00BF7">
              <w:rPr>
                <w:color w:val="000000"/>
                <w:sz w:val="28"/>
                <w:szCs w:val="28"/>
              </w:rPr>
              <w:t>рублей</w:t>
            </w:r>
            <w:r w:rsidR="00CA7E76">
              <w:rPr>
                <w:color w:val="000000"/>
                <w:sz w:val="28"/>
                <w:szCs w:val="28"/>
              </w:rPr>
              <w:t>;</w:t>
            </w:r>
          </w:p>
          <w:p w:rsidR="00CA7E76" w:rsidRDefault="00CA7E76" w:rsidP="00CA7E7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CA7E76" w:rsidRDefault="00F5096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="00CA7E76">
              <w:rPr>
                <w:b/>
                <w:color w:val="000000"/>
                <w:sz w:val="28"/>
                <w:szCs w:val="28"/>
              </w:rPr>
              <w:t>76</w:t>
            </w:r>
            <w:r w:rsidR="00CA7E76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2024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6 785 652</w:t>
            </w:r>
            <w:r>
              <w:rPr>
                <w:color w:val="000000"/>
                <w:sz w:val="28"/>
                <w:szCs w:val="28"/>
              </w:rPr>
              <w:t xml:space="preserve"> рублей, в том числе: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-средства Ф</w:t>
            </w:r>
            <w:r>
              <w:rPr>
                <w:color w:val="000000"/>
                <w:sz w:val="28"/>
                <w:szCs w:val="28"/>
              </w:rPr>
              <w:t xml:space="preserve">онда 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6 514 </w:t>
            </w:r>
            <w:r w:rsidR="00F5096C">
              <w:rPr>
                <w:b/>
                <w:color w:val="000000"/>
                <w:sz w:val="28"/>
                <w:szCs w:val="28"/>
              </w:rPr>
              <w:t>2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Pr="00A00BF7">
              <w:rPr>
                <w:color w:val="000000"/>
                <w:sz w:val="28"/>
                <w:szCs w:val="28"/>
              </w:rPr>
              <w:t xml:space="preserve"> рублей;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-средства областного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F5096C">
              <w:rPr>
                <w:b/>
                <w:color w:val="000000"/>
                <w:sz w:val="28"/>
                <w:szCs w:val="28"/>
              </w:rPr>
              <w:t>268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:rsidR="00823862" w:rsidRPr="0059456D" w:rsidRDefault="00823862" w:rsidP="00F5096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– 2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CA7E76">
              <w:rPr>
                <w:b/>
                <w:color w:val="000000"/>
                <w:sz w:val="28"/>
                <w:szCs w:val="28"/>
              </w:rPr>
              <w:t>52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21CC4">
              <w:rPr>
                <w:color w:val="000000"/>
                <w:sz w:val="28"/>
                <w:szCs w:val="28"/>
              </w:rPr>
              <w:t>рублей.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2,07 тыс. кв. метра жилой площади;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2019-2025 годах не менее 131 гражданина из 5 многоквартирных аварийных жилых довов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 xml:space="preserve">признаных до 1 января 2017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1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1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2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BF7">
        <w:rPr>
          <w:color w:val="000000"/>
          <w:sz w:val="28"/>
          <w:szCs w:val="28"/>
        </w:rPr>
        <w:t xml:space="preserve">1.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аварийного жилого фонда повышает социальную напряженность в обществе, ухудшает качество предоставляемых коммунальных услуг, сдерживает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безопасности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      аварийном жилье 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28 ноября 2018 года № 436-ФЗ внесены изменения в Федеральный закон «О Фонде содействия реформированию жилищно-коммунального хозяйства», в том числе о продлении деятельности Фонда до 2026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2019–2025 годов будет расселено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,07 тыс. кв. метров аварийного жилья, переселено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проживающих 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признанными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января        2017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окажет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граждан, проживающих в домах,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 xml:space="preserve">Программа подготовлена на основе анализа существующего технического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 xml:space="preserve">,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выбранных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подлежащими сносу или реконструкции до 1 января 2017 года, представлен в приложении № 2 к 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представлен в приложении № 3 к Программе.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На основании информации, полученной в результате работы, проведенной с гражданами, оценки рынка жилья,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z w:val="28"/>
            <w:szCs w:val="28"/>
          </w:rPr>
          <w:t>1 кв. метра</w:t>
        </w:r>
      </w:smartTag>
      <w:r w:rsidRPr="00480DDF">
        <w:rPr>
          <w:sz w:val="28"/>
          <w:szCs w:val="28"/>
        </w:rPr>
        <w:t xml:space="preserve"> приобретения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и направляет предложения </w:t>
      </w:r>
      <w:r>
        <w:rPr>
          <w:sz w:val="28"/>
          <w:szCs w:val="28"/>
        </w:rPr>
        <w:t xml:space="preserve">министерству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или реконструкции влечет обязанность органов местного самоуправления по изъятию жилых помещений в указанном доме у собственников в случае, если собственники сами в разумный срок не осуществили снос такого дома.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 xml:space="preserve">В соответствии со статьями 86, 89 Жилищного кодекса Российской Федерации обязанность по обеспечению жилыми помещениями граждан, проживающих в жилых помещениях, занимаемых по договорам социального найма и расположенных в домах, подлежащих сносу, возложена на органы государственной власти или органы </w:t>
      </w:r>
      <w:r w:rsidRPr="00480DDF">
        <w:rPr>
          <w:sz w:val="28"/>
          <w:szCs w:val="28"/>
        </w:rPr>
        <w:lastRenderedPageBreak/>
        <w:t xml:space="preserve">местного самоуправления, принявшие решение о сносе таких домов.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пункта, равнозначными по общей площади ранее занимаемым жилым помещениям, отвечать установленным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многоквартирных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расположенных на территории этого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 В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3" w:name="sub_1300"/>
      <w:bookmarkEnd w:id="2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граждан;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домов, признанных до 1 января 2017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мероприятий,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способов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полученных за счет средств Фонда, выбор наиболее экономически эффективных способов реализации Программы с учетом обеспечения прав и законных интересов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привлечение финансовой поддержки за счет средств фонда;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регулирование отношений между Фондом, Правительством Оренбургской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Рекомендуемые требования к жилью, проектируемому (строящемуся) и приобретаемому в рамках Программы, представлены в приложении № 1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случае если размер возмещения за изымаемое жилое помещение ниже стоимости планируемого к предоставлению жилого помещения, порядок уплаты гражданами части стоимости приобретаемых жилых помещений определяется органами местного самоуправления.</w:t>
      </w:r>
    </w:p>
    <w:p w:rsidR="00823862" w:rsidRPr="00A00BF7" w:rsidRDefault="00823862" w:rsidP="00823862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rStyle w:val="apple-style-span"/>
          <w:color w:val="000000"/>
          <w:sz w:val="28"/>
          <w:szCs w:val="28"/>
        </w:rPr>
        <w:t xml:space="preserve">           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3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</w:t>
      </w:r>
      <w:r w:rsidRPr="00480DDF">
        <w:rPr>
          <w:sz w:val="28"/>
          <w:szCs w:val="28"/>
        </w:rPr>
        <w:t xml:space="preserve">Срок реализации Программы – 2019–2025 годы.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480DDF">
        <w:rPr>
          <w:sz w:val="28"/>
          <w:szCs w:val="28"/>
        </w:rPr>
        <w:t>Этапы реализации Программы: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2019 года – срок реализации до 31.12.2020;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2020 года – срок реализации до 31.12.2021;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2021 года – срок реализации до 31.12.2022;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2022 года – срок реализации до 31.12.2023;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2023 года – срок реализации до 31.12.2024;</w:t>
      </w:r>
    </w:p>
    <w:p w:rsidR="00823862" w:rsidRPr="00480DDF" w:rsidRDefault="00823862" w:rsidP="00823862">
      <w:pPr>
        <w:widowControl w:val="0"/>
        <w:tabs>
          <w:tab w:val="left" w:pos="2880"/>
        </w:tabs>
        <w:autoSpaceDE w:val="0"/>
        <w:autoSpaceDN w:val="0"/>
        <w:adjustRightInd w:val="0"/>
        <w:ind w:right="-6" w:firstLine="709"/>
        <w:outlineLvl w:val="0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2024 года – срок реализации до 01.09.2025.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  <w:bookmarkStart w:id="4" w:name="sub_1400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5" w:name="sub_1401"/>
      <w:bookmarkEnd w:id="4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изъятие земельного участка,  на котором расположен многоквартирный дом, признанный до 1 января 2017 года в установленном порядке аварийным и подлежащим сносу или реконструкции в связи с физическим износом в процессе его эксплуатации, для муниципальных нужд в порядке, установленном законодательством Российской Федерации.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2. Переселение граждан из аварийного жилищного фонда </w:t>
      </w:r>
      <w:r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переселения: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предоставление жилых помещений путем заключения договоров мены взамен изымаемых жилых помещений (в соответствии с решениями, принятыми собственниками помещений в аварийных многоквартирных домах);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 xml:space="preserve">предоставление гражданам других благоустроенных жилых помещений по договорам социального найма в связи с выселением в порядке, установленном статьями 86 и 89 Жилищного кодекса Российской Федерации.      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lastRenderedPageBreak/>
        <w:t xml:space="preserve">Средства Фонда, средства долевого финансирования за счет средств областного бюджета и (или) средств местных бюджетов расходуются на приобретение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на строительство таких домов, а также на выплату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Федерации.  При этом не допускается привлечение внебюджетных средств на строительство многоквартирных домов, указанных в пункте 2 части 2 статьи 49 Градостроительного кодекса Российской Федерации, если они строятся (создаются) субъектами Российской Федерации или муниципальными образованиями за счет средств Фонда, средств долевого финансирования, средств областного бюджета и (или) средств местных бюджетов. </w:t>
      </w:r>
    </w:p>
    <w:p w:rsidR="00823862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3. Организационные мероприятия по реализации Программы предусматривают: 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выявление не завершенных строительством жилых домов с высокой степенью готовности с целью участия в долевом строительстве многоквартирных домов, организацию строительства нового жилья, приобретение жилых помещений у застройщиков;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установление очередности сноса аварийного жилищного фонда в соответствии с требованиями планируемого развития территорий;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информирование собственников и нанимателей жилых помещений аварийного жилищного фонда о порядке и условиях участия в Программе через средства массовой информации, в том числе</w:t>
      </w:r>
      <w:r>
        <w:rPr>
          <w:sz w:val="28"/>
          <w:szCs w:val="28"/>
        </w:rPr>
        <w:t xml:space="preserve"> через</w:t>
      </w:r>
      <w:r w:rsidRPr="00480DDF">
        <w:rPr>
          <w:sz w:val="28"/>
          <w:szCs w:val="28"/>
        </w:rPr>
        <w:t>: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официальные сайты</w:t>
      </w:r>
      <w:r w:rsidRPr="00480DDF">
        <w:rPr>
          <w:sz w:val="28"/>
          <w:szCs w:val="28"/>
        </w:rPr>
        <w:t xml:space="preserve"> исполнительных органов государственной власти Оренбургской области, органов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б) офици</w:t>
      </w:r>
      <w:r>
        <w:rPr>
          <w:sz w:val="28"/>
          <w:szCs w:val="28"/>
        </w:rPr>
        <w:t>альные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областные</w:t>
      </w:r>
      <w:r w:rsidRPr="00480DDF">
        <w:rPr>
          <w:sz w:val="28"/>
          <w:szCs w:val="28"/>
        </w:rPr>
        <w:t xml:space="preserve"> печат</w:t>
      </w:r>
      <w:r>
        <w:rPr>
          <w:sz w:val="28"/>
          <w:szCs w:val="28"/>
        </w:rPr>
        <w:t>ные</w:t>
      </w:r>
      <w:r w:rsidRPr="00480DDF">
        <w:rPr>
          <w:sz w:val="28"/>
          <w:szCs w:val="28"/>
        </w:rPr>
        <w:t xml:space="preserve"> издания, печатные издания органов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в) </w:t>
      </w:r>
      <w:r>
        <w:rPr>
          <w:sz w:val="28"/>
          <w:szCs w:val="28"/>
        </w:rPr>
        <w:t>печатные</w:t>
      </w:r>
      <w:r w:rsidRPr="00480DDF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>, имеющие</w:t>
      </w:r>
      <w:r w:rsidRPr="00480DDF">
        <w:rPr>
          <w:sz w:val="28"/>
          <w:szCs w:val="28"/>
        </w:rPr>
        <w:t xml:space="preserve"> широкое распространение на территории Оренбургской области, органов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г) </w:t>
      </w:r>
      <w:r>
        <w:rPr>
          <w:sz w:val="28"/>
          <w:szCs w:val="28"/>
        </w:rPr>
        <w:t>сайты</w:t>
      </w:r>
      <w:r w:rsidRPr="00480DDF">
        <w:rPr>
          <w:sz w:val="28"/>
          <w:szCs w:val="28"/>
        </w:rPr>
        <w:t xml:space="preserve"> в информационно-коммуникационной сети «Интернет» и в печатных изданиях ассоциаций товариществ собственников  и жилищно-строительных кооперативов, ассоциаций и (или) саморегулируемых организаций управляющих организаций;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д) телевидение, радио и иные электронные средства массовой информации;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е) справочные службы, организованные на постоянной основе в муниципальных образованиях;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обеспечение переселения граждан из аварийных многоквартирных домов в 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 xml:space="preserve">осуществление сбора и обобщения информации о сносе жилых домов, не подлежащих капитальному ремонту или реконструкции,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Федерации, а также разработка механизма контроля за использованием освобожденных земельных </w:t>
      </w:r>
      <w:r w:rsidRPr="00480DDF">
        <w:rPr>
          <w:sz w:val="28"/>
          <w:szCs w:val="28"/>
        </w:rPr>
        <w:lastRenderedPageBreak/>
        <w:t xml:space="preserve">участков. </w:t>
      </w:r>
    </w:p>
    <w:bookmarkEnd w:id="5"/>
    <w:p w:rsidR="00823862" w:rsidRPr="00A00BF7" w:rsidRDefault="00823862" w:rsidP="0082386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финансовых ресурсов, предусмотренных на реализацию Программы.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Общий прогнозный объем финансирования Программы в                                 2019–2025 годах составляет </w:t>
      </w:r>
      <w:r>
        <w:rPr>
          <w:sz w:val="28"/>
          <w:szCs w:val="28"/>
        </w:rPr>
        <w:t>70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128 рубля, в том числе: средства Фонда – 68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075</w:t>
      </w:r>
      <w:r w:rsidRPr="00480DDF">
        <w:rPr>
          <w:sz w:val="28"/>
          <w:szCs w:val="28"/>
        </w:rPr>
        <w:t> </w:t>
      </w:r>
      <w:r w:rsidR="00B64E20">
        <w:rPr>
          <w:sz w:val="28"/>
          <w:szCs w:val="28"/>
        </w:rPr>
        <w:t>6</w:t>
      </w:r>
      <w:r w:rsidR="00CA7E76">
        <w:rPr>
          <w:sz w:val="28"/>
          <w:szCs w:val="28"/>
        </w:rPr>
        <w:t>00</w:t>
      </w:r>
      <w:r w:rsidRPr="00480DDF">
        <w:rPr>
          <w:sz w:val="28"/>
          <w:szCs w:val="28"/>
        </w:rPr>
        <w:t xml:space="preserve"> рубля, средства областного бюджета –  </w:t>
      </w:r>
      <w:r>
        <w:rPr>
          <w:sz w:val="28"/>
          <w:szCs w:val="28"/>
        </w:rPr>
        <w:t>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808</w:t>
      </w:r>
      <w:r w:rsidRPr="00480DDF">
        <w:rPr>
          <w:sz w:val="28"/>
          <w:szCs w:val="28"/>
        </w:rPr>
        <w:t> </w:t>
      </w:r>
      <w:r w:rsidR="00B64E20">
        <w:rPr>
          <w:sz w:val="28"/>
          <w:szCs w:val="28"/>
        </w:rPr>
        <w:t>1</w:t>
      </w:r>
      <w:r w:rsidR="00CA7E76">
        <w:rPr>
          <w:sz w:val="28"/>
          <w:szCs w:val="28"/>
        </w:rPr>
        <w:t>00</w:t>
      </w:r>
      <w:r w:rsidRPr="00480DDF">
        <w:rPr>
          <w:sz w:val="28"/>
          <w:szCs w:val="28"/>
        </w:rPr>
        <w:t xml:space="preserve"> рубля, средст</w:t>
      </w:r>
      <w:r>
        <w:rPr>
          <w:sz w:val="28"/>
          <w:szCs w:val="28"/>
        </w:rPr>
        <w:t>ва местного бюджета</w:t>
      </w:r>
      <w:r w:rsidRPr="00480DDF">
        <w:rPr>
          <w:sz w:val="28"/>
          <w:szCs w:val="28"/>
        </w:rPr>
        <w:t xml:space="preserve"> – </w:t>
      </w:r>
      <w:r w:rsidR="00CA7E76">
        <w:rPr>
          <w:sz w:val="28"/>
          <w:szCs w:val="28"/>
        </w:rPr>
        <w:t>2</w:t>
      </w:r>
      <w:r w:rsidR="00B64E20">
        <w:rPr>
          <w:sz w:val="28"/>
          <w:szCs w:val="28"/>
        </w:rPr>
        <w:t>8</w:t>
      </w:r>
      <w:r w:rsidR="00CA7E76">
        <w:rPr>
          <w:sz w:val="28"/>
          <w:szCs w:val="28"/>
        </w:rPr>
        <w:t xml:space="preserve"> </w:t>
      </w:r>
      <w:r w:rsidR="00B64E20">
        <w:rPr>
          <w:sz w:val="28"/>
          <w:szCs w:val="28"/>
        </w:rPr>
        <w:t>4</w:t>
      </w:r>
      <w:r w:rsidR="00CA7E76">
        <w:rPr>
          <w:sz w:val="28"/>
          <w:szCs w:val="28"/>
        </w:rPr>
        <w:t>28</w:t>
      </w:r>
      <w:r w:rsidRPr="00480DDF">
        <w:rPr>
          <w:sz w:val="28"/>
          <w:szCs w:val="28"/>
        </w:rPr>
        <w:t xml:space="preserve"> рубля.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 xml:space="preserve">Объем финансовых средств, необходимых для переселения граждан из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эксплуатации, в рамках Программы рассчитан как сумма произведений расселяемой площади жилых помещений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помещения, утвержденной приказом Министерства строительства и жилищно-коммунального хозяйства Российской Федерации об утверждении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помещения 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 xml:space="preserve">В </w:t>
      </w:r>
      <w:r w:rsidRPr="00480DDF">
        <w:rPr>
          <w:spacing w:val="-2"/>
          <w:sz w:val="28"/>
          <w:szCs w:val="28"/>
          <w:lang w:val="en-US"/>
        </w:rPr>
        <w:t>I</w:t>
      </w:r>
      <w:r w:rsidRPr="00480DDF">
        <w:rPr>
          <w:spacing w:val="-2"/>
          <w:sz w:val="28"/>
          <w:szCs w:val="28"/>
        </w:rPr>
        <w:t xml:space="preserve"> квартале 2019 года стоимость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помещения по Оренбургской области составила 34 410 рублей.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z w:val="28"/>
          <w:szCs w:val="28"/>
          <w:shd w:val="clear" w:color="auto" w:fill="FFFFFF"/>
        </w:rPr>
        <w:t xml:space="preserve">Корректирующий коэффициент для муниципального образования </w:t>
      </w:r>
      <w:r>
        <w:rPr>
          <w:sz w:val="28"/>
          <w:szCs w:val="28"/>
          <w:shd w:val="clear" w:color="auto" w:fill="FFFFFF"/>
        </w:rPr>
        <w:t>Саракташский поссовет</w:t>
      </w:r>
      <w:r w:rsidRPr="00480DDF">
        <w:rPr>
          <w:sz w:val="28"/>
          <w:szCs w:val="28"/>
          <w:shd w:val="clear" w:color="auto" w:fill="FFFFFF"/>
        </w:rPr>
        <w:t xml:space="preserve"> – 1.</w:t>
      </w:r>
    </w:p>
    <w:p w:rsidR="00823862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переселению граждан из аварийного жилищного фонда, признанного таковым до 1 января 2017 года, </w:t>
      </w:r>
      <w:r w:rsidRPr="00480DDF">
        <w:rPr>
          <w:sz w:val="28"/>
          <w:szCs w:val="28"/>
        </w:rPr>
        <w:t>пре</w:t>
      </w:r>
      <w:r>
        <w:rPr>
          <w:sz w:val="28"/>
          <w:szCs w:val="28"/>
        </w:rPr>
        <w:t>дставлен</w:t>
      </w:r>
      <w:r w:rsidRPr="00480DDF">
        <w:rPr>
          <w:sz w:val="28"/>
          <w:szCs w:val="28"/>
        </w:rPr>
        <w:t xml:space="preserve"> в приложе</w:t>
      </w:r>
      <w:r>
        <w:rPr>
          <w:sz w:val="28"/>
          <w:szCs w:val="28"/>
        </w:rPr>
        <w:t>нии № 4 к 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 </w:t>
      </w:r>
      <w:r w:rsidRPr="00480DDF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планируется обеспечить жилыми помещениями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>
        <w:rPr>
          <w:rFonts w:ascii="Times New Roman" w:hAnsi="Times New Roman" w:cs="Times New Roman"/>
          <w:sz w:val="28"/>
          <w:szCs w:val="28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мах, признанных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 1 января 2017 года в установленном порядке аварийным и подлежащим сносу в связи с физическим износом в процессе его эксплуатации, общей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DDF">
        <w:rPr>
          <w:rFonts w:ascii="Times New Roman" w:hAnsi="Times New Roman" w:cs="Times New Roman"/>
          <w:sz w:val="28"/>
          <w:szCs w:val="28"/>
        </w:rPr>
        <w:t>,07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жилищного фонда, признанного так</w:t>
      </w:r>
      <w:r>
        <w:rPr>
          <w:bCs/>
          <w:sz w:val="28"/>
          <w:szCs w:val="28"/>
        </w:rPr>
        <w:t xml:space="preserve">овым до 1 января 2017 года, </w:t>
      </w:r>
      <w:r w:rsidRPr="00480DDF">
        <w:rPr>
          <w:bCs/>
          <w:sz w:val="28"/>
          <w:szCs w:val="28"/>
        </w:rPr>
        <w:t xml:space="preserve">представлены в приложении № 5 к Программе. </w:t>
      </w:r>
    </w:p>
    <w:p w:rsidR="00823862" w:rsidRDefault="00823862" w:rsidP="00823862">
      <w:pPr>
        <w:rPr>
          <w:color w:val="000000"/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 критерием эффективности реализации Программы, которая носит социальный характер, является количество семей, переселенных из аварийного жилищного фонда.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устойчивое сокращение аварийного жилищного фонда;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комплексное освоение территории после ликвидации аварийного жилищного фонда.</w:t>
      </w:r>
    </w:p>
    <w:p w:rsidR="00823862" w:rsidRDefault="00823862" w:rsidP="00823862">
      <w:pPr>
        <w:tabs>
          <w:tab w:val="left" w:pos="4635"/>
        </w:tabs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2E51F9" w:rsidRPr="00A00BF7" w:rsidRDefault="002E51F9" w:rsidP="00823862">
      <w:pPr>
        <w:autoSpaceDE w:val="0"/>
        <w:autoSpaceDN w:val="0"/>
        <w:adjustRightInd w:val="0"/>
        <w:spacing w:before="108" w:after="108"/>
        <w:outlineLvl w:val="0"/>
        <w:rPr>
          <w:color w:val="000000"/>
          <w:sz w:val="28"/>
          <w:szCs w:val="28"/>
        </w:rPr>
      </w:pP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B0" w:rsidRDefault="00C87EB0">
      <w:r>
        <w:separator/>
      </w:r>
    </w:p>
  </w:endnote>
  <w:endnote w:type="continuationSeparator" w:id="0">
    <w:p w:rsidR="00C87EB0" w:rsidRDefault="00C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B0" w:rsidRDefault="00C87EB0">
      <w:r>
        <w:separator/>
      </w:r>
    </w:p>
  </w:footnote>
  <w:footnote w:type="continuationSeparator" w:id="0">
    <w:p w:rsidR="00C87EB0" w:rsidRDefault="00C8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66CE"/>
    <w:rsid w:val="00247CD2"/>
    <w:rsid w:val="00251DC6"/>
    <w:rsid w:val="002521BB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B60EE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303B"/>
    <w:rsid w:val="004757A7"/>
    <w:rsid w:val="00475D98"/>
    <w:rsid w:val="00476BED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37742"/>
    <w:rsid w:val="007402EA"/>
    <w:rsid w:val="0075024A"/>
    <w:rsid w:val="0075083B"/>
    <w:rsid w:val="00751557"/>
    <w:rsid w:val="00753DFD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40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87EB0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42D4"/>
    <w:rsid w:val="00DA72C6"/>
    <w:rsid w:val="00DB04A0"/>
    <w:rsid w:val="00DB0A5D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5CE6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984C-F041-49CB-ABB0-A09B416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25D6-66BA-484E-A304-0BEA7577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2020-02-26T06:03:00Z</cp:lastPrinted>
  <dcterms:created xsi:type="dcterms:W3CDTF">2020-02-27T17:41:00Z</dcterms:created>
  <dcterms:modified xsi:type="dcterms:W3CDTF">2020-02-27T17:41:00Z</dcterms:modified>
</cp:coreProperties>
</file>