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44" w:rsidRPr="001B6244" w:rsidRDefault="001B6244" w:rsidP="001B6244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6244">
        <w:rPr>
          <w:rFonts w:ascii="Times New Roman" w:hAnsi="Times New Roman"/>
          <w:sz w:val="28"/>
          <w:szCs w:val="28"/>
        </w:rPr>
        <w:t xml:space="preserve">Приложение </w:t>
      </w:r>
    </w:p>
    <w:p w:rsidR="001B6244" w:rsidRPr="001B6244" w:rsidRDefault="001B6244" w:rsidP="001B6244">
      <w:pPr>
        <w:jc w:val="right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244">
        <w:rPr>
          <w:rFonts w:ascii="Times New Roman" w:hAnsi="Times New Roman"/>
          <w:sz w:val="28"/>
          <w:szCs w:val="28"/>
        </w:rPr>
        <w:t>администрации</w:t>
      </w:r>
    </w:p>
    <w:p w:rsidR="001B6244" w:rsidRPr="001B6244" w:rsidRDefault="001B6244" w:rsidP="001B6244">
      <w:pPr>
        <w:jc w:val="right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244" w:rsidRPr="001B6244" w:rsidRDefault="001B6244" w:rsidP="001B6244">
      <w:pPr>
        <w:jc w:val="right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Саракташский поссовет</w:t>
      </w:r>
    </w:p>
    <w:p w:rsidR="001B6244" w:rsidRPr="001B6244" w:rsidRDefault="001B6244" w:rsidP="001B6244">
      <w:pPr>
        <w:jc w:val="right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607EDF">
        <w:rPr>
          <w:rFonts w:ascii="Times New Roman" w:hAnsi="Times New Roman"/>
          <w:sz w:val="28"/>
          <w:szCs w:val="28"/>
        </w:rPr>
        <w:t>о</w:t>
      </w:r>
      <w:r w:rsidRPr="001B62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15.11.201</w:t>
      </w:r>
      <w:r w:rsidR="00607EDF"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г. № </w:t>
      </w:r>
      <w:r w:rsidR="00DA3F0E">
        <w:rPr>
          <w:rFonts w:ascii="Times New Roman" w:hAnsi="Times New Roman"/>
          <w:sz w:val="28"/>
          <w:szCs w:val="28"/>
        </w:rPr>
        <w:t>351/1</w:t>
      </w:r>
      <w:r>
        <w:rPr>
          <w:rFonts w:ascii="Times New Roman" w:hAnsi="Times New Roman"/>
          <w:sz w:val="28"/>
          <w:szCs w:val="28"/>
        </w:rPr>
        <w:t>-</w:t>
      </w:r>
      <w:r w:rsidRPr="001B6244">
        <w:rPr>
          <w:rFonts w:ascii="Times New Roman" w:hAnsi="Times New Roman"/>
          <w:sz w:val="28"/>
          <w:szCs w:val="28"/>
        </w:rPr>
        <w:t>п</w:t>
      </w:r>
    </w:p>
    <w:p w:rsidR="001B6244" w:rsidRPr="001B6244" w:rsidRDefault="001B6244" w:rsidP="001B6244">
      <w:pPr>
        <w:jc w:val="right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ПРОГНОЗ</w:t>
      </w:r>
    </w:p>
    <w:p w:rsidR="001B6244" w:rsidRPr="001B6244" w:rsidRDefault="001B6244" w:rsidP="00607EDF">
      <w:pPr>
        <w:tabs>
          <w:tab w:val="left" w:pos="1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муниципального образования Саракташский поссовет </w:t>
      </w:r>
      <w:r w:rsidR="00607EDF" w:rsidRPr="00D15973">
        <w:rPr>
          <w:rFonts w:ascii="Times New Roman" w:hAnsi="Times New Roman"/>
          <w:sz w:val="28"/>
          <w:szCs w:val="28"/>
        </w:rPr>
        <w:t>на 2020-2024 годы</w:t>
      </w: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1B6244" w:rsidRDefault="001B6244" w:rsidP="001B6244">
      <w:pPr>
        <w:rPr>
          <w:rFonts w:ascii="Times New Roman" w:hAnsi="Times New Roman"/>
          <w:sz w:val="28"/>
          <w:szCs w:val="28"/>
        </w:rPr>
      </w:pPr>
    </w:p>
    <w:p w:rsidR="00607EDF" w:rsidRPr="001B6244" w:rsidRDefault="00607EDF" w:rsidP="001B6244">
      <w:pPr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lastRenderedPageBreak/>
        <w:t>МАКРОЭКОНОМИЧЕСКИЕ ПОКАЗАТЕЛИ</w:t>
      </w: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муниципального образования Саракташский поссовет </w:t>
      </w:r>
      <w:r w:rsidR="00607EDF" w:rsidRPr="00607EDF">
        <w:rPr>
          <w:rFonts w:ascii="Times New Roman" w:hAnsi="Times New Roman"/>
          <w:b/>
          <w:sz w:val="28"/>
          <w:szCs w:val="28"/>
        </w:rPr>
        <w:t>на 2020-2024 годы</w:t>
      </w:r>
    </w:p>
    <w:p w:rsidR="001B6244" w:rsidRDefault="001B6244" w:rsidP="001B62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>Приоритетные направления</w:t>
      </w: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>муниципального образования Саракташский поссовет.</w:t>
      </w:r>
    </w:p>
    <w:p w:rsidR="001B6244" w:rsidRPr="001B6244" w:rsidRDefault="001B6244" w:rsidP="001B624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B6244" w:rsidRPr="001B6244" w:rsidRDefault="001B6244" w:rsidP="001B624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B6244" w:rsidRPr="001B6244" w:rsidRDefault="001B6244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1.</w:t>
      </w:r>
      <w:r w:rsidR="00C221CD" w:rsidRPr="001B6244">
        <w:rPr>
          <w:rFonts w:ascii="Times New Roman" w:hAnsi="Times New Roman"/>
          <w:sz w:val="28"/>
          <w:szCs w:val="28"/>
        </w:rPr>
        <w:t xml:space="preserve"> </w:t>
      </w:r>
      <w:r w:rsidRPr="001B6244">
        <w:rPr>
          <w:rFonts w:ascii="Times New Roman" w:hAnsi="Times New Roman"/>
          <w:sz w:val="28"/>
          <w:szCs w:val="28"/>
        </w:rPr>
        <w:t>Анализ о налогах и сборах</w:t>
      </w:r>
    </w:p>
    <w:p w:rsidR="001B6244" w:rsidRPr="001B6244" w:rsidRDefault="00C879A8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6244" w:rsidRPr="001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44" w:rsidRPr="001B6244">
        <w:rPr>
          <w:rFonts w:ascii="Times New Roman" w:hAnsi="Times New Roman"/>
          <w:sz w:val="28"/>
          <w:szCs w:val="28"/>
        </w:rPr>
        <w:t>Промышленность.</w:t>
      </w:r>
    </w:p>
    <w:p w:rsidR="001B6244" w:rsidRPr="001B6244" w:rsidRDefault="00C879A8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6244" w:rsidRPr="001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44" w:rsidRPr="001B6244">
        <w:rPr>
          <w:rFonts w:ascii="Times New Roman" w:hAnsi="Times New Roman"/>
          <w:sz w:val="28"/>
          <w:szCs w:val="28"/>
        </w:rPr>
        <w:t>Инвестиции.</w:t>
      </w:r>
    </w:p>
    <w:p w:rsidR="001B6244" w:rsidRPr="001B6244" w:rsidRDefault="00C879A8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6244" w:rsidRPr="001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1B6244" w:rsidRPr="001B6244">
        <w:rPr>
          <w:rFonts w:ascii="Times New Roman" w:hAnsi="Times New Roman"/>
          <w:sz w:val="28"/>
          <w:szCs w:val="28"/>
        </w:rPr>
        <w:t>троительство.</w:t>
      </w:r>
    </w:p>
    <w:p w:rsidR="001B6244" w:rsidRPr="001B6244" w:rsidRDefault="00C879A8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6244" w:rsidRPr="001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44" w:rsidRPr="001B6244">
        <w:rPr>
          <w:rFonts w:ascii="Times New Roman" w:hAnsi="Times New Roman"/>
          <w:sz w:val="28"/>
          <w:szCs w:val="28"/>
        </w:rPr>
        <w:t>Рынок товаров и услуг.</w:t>
      </w:r>
    </w:p>
    <w:p w:rsidR="001B6244" w:rsidRPr="001B6244" w:rsidRDefault="00C879A8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6244" w:rsidRPr="001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44" w:rsidRPr="001B6244">
        <w:rPr>
          <w:rFonts w:ascii="Times New Roman" w:hAnsi="Times New Roman"/>
          <w:sz w:val="28"/>
          <w:szCs w:val="28"/>
        </w:rPr>
        <w:t>Финансы</w:t>
      </w:r>
    </w:p>
    <w:p w:rsidR="001B6244" w:rsidRDefault="00C879A8" w:rsidP="001B6244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6244" w:rsidRPr="001B62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44" w:rsidRPr="001B6244">
        <w:rPr>
          <w:rFonts w:ascii="Times New Roman" w:hAnsi="Times New Roman"/>
          <w:sz w:val="28"/>
          <w:szCs w:val="28"/>
        </w:rPr>
        <w:t>Жизненный уровень</w:t>
      </w:r>
    </w:p>
    <w:p w:rsidR="00C221CD" w:rsidRPr="001B6244" w:rsidRDefault="00C879A8" w:rsidP="00C221CD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221CD" w:rsidRPr="001B6244">
        <w:rPr>
          <w:rFonts w:ascii="Times New Roman" w:hAnsi="Times New Roman"/>
          <w:sz w:val="28"/>
          <w:szCs w:val="28"/>
        </w:rPr>
        <w:t>Демография.</w:t>
      </w:r>
    </w:p>
    <w:p w:rsidR="001B6244" w:rsidRPr="001B6244" w:rsidRDefault="001B6244" w:rsidP="001B624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9.Туризм.</w:t>
      </w:r>
    </w:p>
    <w:p w:rsidR="001B6244" w:rsidRPr="001B6244" w:rsidRDefault="001B6244" w:rsidP="001B6244">
      <w:pPr>
        <w:rPr>
          <w:rFonts w:ascii="Times New Roman" w:hAnsi="Times New Roman"/>
          <w:sz w:val="28"/>
          <w:szCs w:val="28"/>
          <w:highlight w:val="yellow"/>
        </w:rPr>
      </w:pPr>
    </w:p>
    <w:p w:rsidR="001B6244" w:rsidRPr="001B6244" w:rsidRDefault="001B6244" w:rsidP="001B6244">
      <w:pPr>
        <w:pStyle w:val="aa"/>
        <w:jc w:val="both"/>
        <w:rPr>
          <w:sz w:val="28"/>
          <w:szCs w:val="28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6244" w:rsidRP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6244" w:rsidRDefault="001B6244" w:rsidP="001B624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221CD" w:rsidRPr="00AE3E40" w:rsidRDefault="00C221CD" w:rsidP="00C221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3E40">
        <w:rPr>
          <w:rFonts w:ascii="Times New Roman" w:hAnsi="Times New Roman"/>
          <w:sz w:val="28"/>
          <w:szCs w:val="28"/>
        </w:rPr>
        <w:lastRenderedPageBreak/>
        <w:t xml:space="preserve">Прогноз социально-экономического развития </w:t>
      </w:r>
      <w:r w:rsidR="00C879A8">
        <w:rPr>
          <w:rFonts w:ascii="Times New Roman" w:hAnsi="Times New Roman"/>
          <w:sz w:val="28"/>
          <w:szCs w:val="28"/>
        </w:rPr>
        <w:t>поселка</w:t>
      </w:r>
      <w:r w:rsidRPr="00AE3E40">
        <w:rPr>
          <w:rFonts w:ascii="Times New Roman" w:hAnsi="Times New Roman"/>
          <w:sz w:val="28"/>
          <w:szCs w:val="28"/>
        </w:rPr>
        <w:t xml:space="preserve"> разработан на основании одобренных Правительством Оренбургской области сценарных условий социально-экономического развития  Оренбургской области, а также с учетом приоритетов и целевых индикаторов социально-экономического развития, сформулированных в </w:t>
      </w:r>
      <w:hyperlink r:id="rId7" w:history="1">
        <w:r w:rsidRPr="00AE3E40">
          <w:rPr>
            <w:rFonts w:ascii="Times New Roman" w:hAnsi="Times New Roman"/>
            <w:sz w:val="28"/>
            <w:szCs w:val="28"/>
          </w:rPr>
          <w:t>Концепции</w:t>
        </w:r>
      </w:hyperlink>
      <w:r w:rsidRPr="00AE3E40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 № 1662-р. </w:t>
      </w:r>
    </w:p>
    <w:p w:rsidR="00C221CD" w:rsidRPr="00AE3E40" w:rsidRDefault="00C221CD" w:rsidP="00C2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3E40">
        <w:rPr>
          <w:rFonts w:ascii="Times New Roman" w:hAnsi="Times New Roman"/>
          <w:sz w:val="28"/>
          <w:szCs w:val="28"/>
        </w:rPr>
        <w:t>Прогноз</w:t>
      </w:r>
      <w:r w:rsidRPr="00AE3E40">
        <w:rPr>
          <w:rFonts w:ascii="Times New Roman" w:hAnsi="Times New Roman"/>
          <w:b/>
          <w:sz w:val="28"/>
          <w:szCs w:val="28"/>
        </w:rPr>
        <w:t xml:space="preserve"> </w:t>
      </w:r>
      <w:r w:rsidRPr="00AE3E40">
        <w:rPr>
          <w:rFonts w:ascii="Times New Roman" w:hAnsi="Times New Roman"/>
          <w:sz w:val="28"/>
          <w:szCs w:val="28"/>
        </w:rPr>
        <w:t xml:space="preserve">ориентирован на достижение национальных целей развития и ключевых целевых показателей национальных проектов, установленных Указом Президента Российской Федерации от 7 мая 2018 года № 204 «О национальных целях и стратегических задачах развития Российской Федерации на период до 2024 года» (далее – Указ Президента № 204). </w:t>
      </w:r>
    </w:p>
    <w:p w:rsidR="00C221CD" w:rsidRPr="00AE3E40" w:rsidRDefault="00C221CD" w:rsidP="00C2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3E40">
        <w:rPr>
          <w:rFonts w:ascii="Times New Roman" w:hAnsi="Times New Roman"/>
          <w:sz w:val="28"/>
          <w:szCs w:val="28"/>
        </w:rPr>
        <w:t>Основные параметры прогноза развития экономики сформированы в двух вариантах.</w:t>
      </w:r>
    </w:p>
    <w:p w:rsidR="00C221CD" w:rsidRPr="00AE3E40" w:rsidRDefault="00C221CD" w:rsidP="00C2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3E40">
        <w:rPr>
          <w:rFonts w:ascii="Times New Roman" w:hAnsi="Times New Roman"/>
          <w:sz w:val="28"/>
          <w:szCs w:val="28"/>
        </w:rPr>
        <w:t xml:space="preserve">Первый вариант – консервативный, ориентирован на менее благоприятную экономическую ситуацию в условиях низких цен на нефть и газ, ослабления курса рубля и сдержанных темпов роста макроэкономических показателей. </w:t>
      </w:r>
    </w:p>
    <w:p w:rsidR="00C221CD" w:rsidRPr="00AE3E40" w:rsidRDefault="00C221CD" w:rsidP="00C2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3E40">
        <w:rPr>
          <w:rFonts w:ascii="Times New Roman" w:hAnsi="Times New Roman"/>
          <w:sz w:val="28"/>
          <w:szCs w:val="28"/>
        </w:rPr>
        <w:t xml:space="preserve">Второй – базовый сценарий, принят за основу прогноза и базируется на ускорении развития экономики на фоне роста инвестиционных вложений, производительности труда, потребительского спроса. </w:t>
      </w:r>
    </w:p>
    <w:p w:rsidR="00C221CD" w:rsidRPr="00AE3E40" w:rsidRDefault="00AE3E40" w:rsidP="00C221CD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</w:t>
      </w:r>
      <w:r w:rsidR="00C221CD" w:rsidRPr="00AE3E40">
        <w:rPr>
          <w:rFonts w:ascii="Times New Roman" w:eastAsia="Calibri" w:hAnsi="Times New Roman"/>
          <w:bCs/>
          <w:sz w:val="28"/>
          <w:szCs w:val="28"/>
        </w:rPr>
        <w:t xml:space="preserve">Муниципальные программы </w:t>
      </w:r>
      <w:r w:rsidR="00C879A8">
        <w:rPr>
          <w:rFonts w:ascii="Times New Roman" w:eastAsia="Calibri" w:hAnsi="Times New Roman"/>
          <w:bCs/>
          <w:sz w:val="28"/>
          <w:szCs w:val="28"/>
        </w:rPr>
        <w:t>муниципального образования</w:t>
      </w:r>
      <w:r w:rsidR="00C221CD" w:rsidRPr="00AE3E40">
        <w:rPr>
          <w:rFonts w:ascii="Times New Roman" w:eastAsia="Calibri" w:hAnsi="Times New Roman"/>
          <w:bCs/>
          <w:sz w:val="28"/>
          <w:szCs w:val="28"/>
        </w:rPr>
        <w:t xml:space="preserve"> Саракташск</w:t>
      </w:r>
      <w:r w:rsidR="00C879A8">
        <w:rPr>
          <w:rFonts w:ascii="Times New Roman" w:eastAsia="Calibri" w:hAnsi="Times New Roman"/>
          <w:bCs/>
          <w:sz w:val="28"/>
          <w:szCs w:val="28"/>
        </w:rPr>
        <w:t>ий</w:t>
      </w:r>
      <w:r w:rsidR="00C221CD" w:rsidRPr="00AE3E40">
        <w:rPr>
          <w:rFonts w:ascii="Times New Roman" w:eastAsia="Calibri" w:hAnsi="Times New Roman"/>
          <w:bCs/>
          <w:sz w:val="28"/>
          <w:szCs w:val="28"/>
        </w:rPr>
        <w:t xml:space="preserve"> поссовет разрабатываются в</w:t>
      </w:r>
      <w:r w:rsidR="00C221CD" w:rsidRPr="00AE3E40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Саракташского </w:t>
      </w:r>
      <w:r w:rsidR="008B5DE1" w:rsidRPr="00AE3E40">
        <w:rPr>
          <w:rFonts w:ascii="Times New Roman" w:eastAsia="Calibri" w:hAnsi="Times New Roman"/>
          <w:bCs/>
          <w:sz w:val="28"/>
          <w:szCs w:val="28"/>
        </w:rPr>
        <w:t>поссовета</w:t>
      </w:r>
      <w:r w:rsidR="00C221CD" w:rsidRPr="00AE3E40">
        <w:rPr>
          <w:rFonts w:ascii="Times New Roman" w:hAnsi="Times New Roman"/>
          <w:sz w:val="28"/>
          <w:szCs w:val="28"/>
        </w:rPr>
        <w:t xml:space="preserve"> от </w:t>
      </w:r>
      <w:r w:rsidR="008B5DE1" w:rsidRPr="00AE3E40">
        <w:rPr>
          <w:rFonts w:ascii="Times New Roman" w:hAnsi="Times New Roman"/>
          <w:sz w:val="28"/>
          <w:szCs w:val="28"/>
        </w:rPr>
        <w:t>12</w:t>
      </w:r>
      <w:r w:rsidR="00C221CD" w:rsidRPr="00AE3E40">
        <w:rPr>
          <w:rFonts w:ascii="Times New Roman" w:hAnsi="Times New Roman"/>
          <w:sz w:val="28"/>
          <w:szCs w:val="28"/>
        </w:rPr>
        <w:t>.08.201</w:t>
      </w:r>
      <w:r w:rsidR="008B5DE1" w:rsidRPr="00AE3E40">
        <w:rPr>
          <w:rFonts w:ascii="Times New Roman" w:hAnsi="Times New Roman"/>
          <w:sz w:val="28"/>
          <w:szCs w:val="28"/>
        </w:rPr>
        <w:t>9</w:t>
      </w:r>
      <w:r w:rsidR="00C221CD" w:rsidRPr="00AE3E40">
        <w:rPr>
          <w:rFonts w:ascii="Times New Roman" w:hAnsi="Times New Roman"/>
          <w:sz w:val="28"/>
          <w:szCs w:val="28"/>
        </w:rPr>
        <w:t xml:space="preserve"> № </w:t>
      </w:r>
      <w:r w:rsidR="008B5DE1" w:rsidRPr="00AE3E40">
        <w:rPr>
          <w:rFonts w:ascii="Times New Roman" w:hAnsi="Times New Roman"/>
          <w:sz w:val="28"/>
          <w:szCs w:val="28"/>
        </w:rPr>
        <w:t>233</w:t>
      </w:r>
      <w:r w:rsidR="00C221CD" w:rsidRPr="00AE3E40">
        <w:rPr>
          <w:rFonts w:ascii="Times New Roman" w:hAnsi="Times New Roman"/>
          <w:sz w:val="28"/>
          <w:szCs w:val="28"/>
        </w:rPr>
        <w:t>-п «Об утверждении перечня муниципальных  программ Саракташского поссовета».</w:t>
      </w:r>
    </w:p>
    <w:p w:rsidR="00C221CD" w:rsidRPr="00AE3E40" w:rsidRDefault="00C221CD" w:rsidP="00C221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E3E40">
        <w:rPr>
          <w:rFonts w:ascii="Times New Roman" w:eastAsia="Calibri" w:hAnsi="Times New Roman"/>
          <w:bCs/>
          <w:sz w:val="28"/>
          <w:szCs w:val="28"/>
        </w:rPr>
        <w:t>В 2019 году на т</w:t>
      </w:r>
      <w:r w:rsidR="008B5DE1" w:rsidRPr="00AE3E40">
        <w:rPr>
          <w:rFonts w:ascii="Times New Roman" w:eastAsia="Calibri" w:hAnsi="Times New Roman"/>
          <w:bCs/>
          <w:sz w:val="28"/>
          <w:szCs w:val="28"/>
        </w:rPr>
        <w:t xml:space="preserve">ерритории района реализуются </w:t>
      </w:r>
      <w:r w:rsidRPr="00AE3E40">
        <w:rPr>
          <w:rFonts w:ascii="Times New Roman" w:eastAsia="Calibri" w:hAnsi="Times New Roman"/>
          <w:bCs/>
          <w:sz w:val="28"/>
          <w:szCs w:val="28"/>
        </w:rPr>
        <w:t xml:space="preserve">5 муниципальных программ </w:t>
      </w:r>
      <w:r w:rsidR="00C879A8">
        <w:rPr>
          <w:rFonts w:ascii="Times New Roman" w:eastAsia="Calibri" w:hAnsi="Times New Roman"/>
          <w:bCs/>
          <w:sz w:val="28"/>
          <w:szCs w:val="28"/>
        </w:rPr>
        <w:t>муниципального образования</w:t>
      </w:r>
      <w:r w:rsidR="00C879A8" w:rsidRPr="00AE3E40">
        <w:rPr>
          <w:rFonts w:ascii="Times New Roman" w:eastAsia="Calibri" w:hAnsi="Times New Roman"/>
          <w:bCs/>
          <w:sz w:val="28"/>
          <w:szCs w:val="28"/>
        </w:rPr>
        <w:t xml:space="preserve"> Саракташск</w:t>
      </w:r>
      <w:r w:rsidR="00C879A8">
        <w:rPr>
          <w:rFonts w:ascii="Times New Roman" w:eastAsia="Calibri" w:hAnsi="Times New Roman"/>
          <w:bCs/>
          <w:sz w:val="28"/>
          <w:szCs w:val="28"/>
        </w:rPr>
        <w:t>ий</w:t>
      </w:r>
      <w:r w:rsidR="00C879A8" w:rsidRPr="00AE3E40">
        <w:rPr>
          <w:rFonts w:ascii="Times New Roman" w:eastAsia="Calibri" w:hAnsi="Times New Roman"/>
          <w:bCs/>
          <w:sz w:val="28"/>
          <w:szCs w:val="28"/>
        </w:rPr>
        <w:t xml:space="preserve"> поссовет</w:t>
      </w:r>
      <w:r w:rsidRPr="00AE3E40">
        <w:rPr>
          <w:rFonts w:ascii="Times New Roman" w:eastAsia="Calibri" w:hAnsi="Times New Roman"/>
          <w:bCs/>
          <w:sz w:val="28"/>
          <w:szCs w:val="28"/>
        </w:rPr>
        <w:t>, 2 из которых име</w:t>
      </w:r>
      <w:r w:rsidR="008B5DE1" w:rsidRPr="00AE3E40">
        <w:rPr>
          <w:rFonts w:ascii="Times New Roman" w:eastAsia="Calibri" w:hAnsi="Times New Roman"/>
          <w:bCs/>
          <w:sz w:val="28"/>
          <w:szCs w:val="28"/>
        </w:rPr>
        <w:t>ю</w:t>
      </w:r>
      <w:r w:rsidRPr="00AE3E40">
        <w:rPr>
          <w:rFonts w:ascii="Times New Roman" w:eastAsia="Calibri" w:hAnsi="Times New Roman"/>
          <w:bCs/>
          <w:sz w:val="28"/>
          <w:szCs w:val="28"/>
        </w:rPr>
        <w:t xml:space="preserve">т бюджетное финансирование. </w:t>
      </w:r>
    </w:p>
    <w:p w:rsidR="00C221CD" w:rsidRPr="00AE3E40" w:rsidRDefault="00C221CD" w:rsidP="00C221C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221CD" w:rsidRPr="00F92F75" w:rsidRDefault="00C221CD" w:rsidP="00C221CD">
      <w:pPr>
        <w:pStyle w:val="1"/>
        <w:jc w:val="center"/>
        <w:rPr>
          <w:sz w:val="12"/>
          <w:szCs w:val="12"/>
        </w:rPr>
      </w:pPr>
    </w:p>
    <w:p w:rsidR="00C221CD" w:rsidRPr="00F92F75" w:rsidRDefault="00C221CD" w:rsidP="00C221CD">
      <w:pPr>
        <w:pStyle w:val="1"/>
        <w:jc w:val="center"/>
      </w:pPr>
      <w:r w:rsidRPr="00F92F75">
        <w:t xml:space="preserve">Распределение бюджетных ассигнований  бюджета </w:t>
      </w:r>
      <w:r w:rsidR="008B5DE1" w:rsidRPr="00FD52F2">
        <w:t xml:space="preserve">администрации Саракташского </w:t>
      </w:r>
      <w:r w:rsidR="008B5DE1">
        <w:rPr>
          <w:rFonts w:eastAsia="Calibri"/>
          <w:bCs/>
        </w:rPr>
        <w:t>поссовет</w:t>
      </w:r>
      <w:r w:rsidR="008B5DE1" w:rsidRPr="00FD52F2">
        <w:rPr>
          <w:rFonts w:eastAsia="Calibri"/>
          <w:bCs/>
        </w:rPr>
        <w:t>а</w:t>
      </w:r>
      <w:r w:rsidRPr="00F92F75">
        <w:t xml:space="preserve"> </w:t>
      </w:r>
    </w:p>
    <w:p w:rsidR="00C221CD" w:rsidRPr="00F92F75" w:rsidRDefault="00C221CD" w:rsidP="00C221CD">
      <w:pPr>
        <w:pStyle w:val="1"/>
        <w:jc w:val="center"/>
      </w:pPr>
      <w:r w:rsidRPr="00F92F75">
        <w:t xml:space="preserve">по муниципальным программам Саракташского </w:t>
      </w:r>
      <w:r w:rsidR="008B5DE1">
        <w:rPr>
          <w:rFonts w:eastAsia="Calibri"/>
          <w:bCs/>
        </w:rPr>
        <w:t>поссовет</w:t>
      </w:r>
      <w:r w:rsidR="008B5DE1" w:rsidRPr="00FD52F2">
        <w:rPr>
          <w:rFonts w:eastAsia="Calibri"/>
          <w:bCs/>
        </w:rPr>
        <w:t>а</w:t>
      </w:r>
      <w:r w:rsidRPr="00F92F75">
        <w:t xml:space="preserve"> </w:t>
      </w:r>
    </w:p>
    <w:p w:rsidR="00C221CD" w:rsidRPr="00F92F75" w:rsidRDefault="00C221CD" w:rsidP="00C221CD">
      <w:pPr>
        <w:pStyle w:val="1"/>
        <w:jc w:val="center"/>
      </w:pPr>
      <w:r w:rsidRPr="00F92F75">
        <w:t>(по состоянию на 1ноября 2019 года)</w:t>
      </w:r>
    </w:p>
    <w:p w:rsidR="00C221CD" w:rsidRPr="00F92F75" w:rsidRDefault="00C221CD" w:rsidP="00C221CD">
      <w:pPr>
        <w:pStyle w:val="1"/>
        <w:jc w:val="center"/>
        <w:rPr>
          <w:sz w:val="16"/>
          <w:szCs w:val="16"/>
        </w:rPr>
      </w:pPr>
    </w:p>
    <w:p w:rsidR="00C221CD" w:rsidRPr="00F92F75" w:rsidRDefault="00C221CD" w:rsidP="00C221CD">
      <w:pPr>
        <w:pStyle w:val="1"/>
        <w:ind w:right="-2"/>
        <w:jc w:val="right"/>
      </w:pPr>
      <w:r w:rsidRPr="00F92F75">
        <w:t>(тыс. рублей)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812"/>
      </w:tblGrid>
      <w:tr w:rsidR="008B5DE1" w:rsidRPr="00F92F75" w:rsidTr="000964BC">
        <w:trPr>
          <w:cantSplit/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1" w:rsidRPr="00CC39F4" w:rsidRDefault="008B5DE1" w:rsidP="00096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9A8" w:rsidRDefault="00C879A8" w:rsidP="00096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E1" w:rsidRPr="00CC39F4" w:rsidRDefault="008B5DE1" w:rsidP="00096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DE1" w:rsidRPr="00CC39F4" w:rsidRDefault="008B5DE1" w:rsidP="008B5DE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sz w:val="28"/>
                <w:szCs w:val="28"/>
              </w:rPr>
              <w:t>Распределение бюджетных ассигнований  бюджета</w:t>
            </w:r>
          </w:p>
        </w:tc>
      </w:tr>
      <w:tr w:rsidR="00CC39F4" w:rsidRPr="00F92F75" w:rsidTr="000964B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9F4" w:rsidRPr="00CC39F4" w:rsidRDefault="00CC39F4" w:rsidP="000964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9F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9F4" w:rsidRPr="00CC39F4" w:rsidRDefault="00CC39F4" w:rsidP="00CC39F4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CC39F4"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CC39F4">
              <w:rPr>
                <w:rFonts w:cs="Times New Roman"/>
                <w:sz w:val="28"/>
                <w:szCs w:val="28"/>
              </w:rPr>
              <w:t>Реализация муниципальной политики на  территории муниципального образования Саракташский поссовет Саракташского района Оренбургской области на2017-2024 годы»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F4" w:rsidRPr="00CC39F4" w:rsidRDefault="00CC39F4" w:rsidP="00CC39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 –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030,1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C39F4" w:rsidRPr="00CC39F4" w:rsidRDefault="00CC39F4" w:rsidP="00CC39F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-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878,2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C39F4" w:rsidRPr="00CC39F4" w:rsidRDefault="00CC39F4" w:rsidP="00CC39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 - 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684,5 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CC39F4" w:rsidRPr="00CC39F4" w:rsidRDefault="00CC39F4" w:rsidP="00CC39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-  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92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740,2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CC39F4" w:rsidRPr="00CC39F4" w:rsidRDefault="00CC39F4" w:rsidP="00CC39F4">
            <w:pPr>
              <w:tabs>
                <w:tab w:val="left" w:pos="155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- 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903,5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тыс.рублей;</w:t>
            </w:r>
          </w:p>
          <w:p w:rsidR="00CC39F4" w:rsidRPr="00CC39F4" w:rsidRDefault="00CC39F4" w:rsidP="00CC39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339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тыс.рублей;</w:t>
            </w:r>
          </w:p>
          <w:p w:rsidR="00CC39F4" w:rsidRPr="00CC39F4" w:rsidRDefault="00CC39F4" w:rsidP="00CC39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-  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038,5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тыс.рублей;</w:t>
            </w:r>
          </w:p>
          <w:p w:rsidR="00CC39F4" w:rsidRPr="00CC39F4" w:rsidRDefault="00CC39F4" w:rsidP="00CC39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 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038,5 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тыс.рублей.</w:t>
            </w:r>
          </w:p>
          <w:p w:rsidR="00CC39F4" w:rsidRPr="00CC39F4" w:rsidRDefault="00CC39F4" w:rsidP="000964BC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39F4" w:rsidRPr="00F92F75" w:rsidTr="000964B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9F4" w:rsidRPr="00CC39F4" w:rsidRDefault="00CC39F4" w:rsidP="000964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9F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9F4" w:rsidRPr="00CC39F4" w:rsidRDefault="00CC39F4" w:rsidP="008B5DE1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39F4"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:rsidR="00CC39F4" w:rsidRPr="00CC39F4" w:rsidRDefault="00CC39F4" w:rsidP="008B5DE1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9F4">
              <w:rPr>
                <w:rFonts w:ascii="Times New Roman" w:hAnsi="Times New Roman"/>
                <w:sz w:val="28"/>
                <w:szCs w:val="28"/>
                <w:lang w:eastAsia="ru-RU"/>
              </w:rPr>
      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на 2019-2024 годы»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A8" w:rsidRDefault="00C879A8" w:rsidP="008B5DE1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39F4" w:rsidRPr="00CC39F4" w:rsidRDefault="00CC39F4" w:rsidP="008B5DE1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Программы составляет   </w:t>
            </w:r>
            <w:r w:rsidRPr="00CC39F4">
              <w:rPr>
                <w:rFonts w:ascii="Times New Roman" w:hAnsi="Times New Roman"/>
                <w:sz w:val="28"/>
                <w:szCs w:val="28"/>
              </w:rPr>
              <w:t>32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sz w:val="28"/>
                <w:szCs w:val="28"/>
              </w:rPr>
              <w:t xml:space="preserve"> 482,3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 Финансирование осуществляется за счет средств бюджета поселения и областного бюджета, в том числе по годам реализации:</w:t>
            </w:r>
          </w:p>
          <w:p w:rsidR="00CC39F4" w:rsidRPr="00CC39F4" w:rsidRDefault="00CC39F4" w:rsidP="008B5DE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2019 год  - 5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043,1 тыс. рублей;</w:t>
            </w:r>
          </w:p>
          <w:p w:rsidR="00CC39F4" w:rsidRPr="00CC39F4" w:rsidRDefault="00CC39F4" w:rsidP="008B5DE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-   </w:t>
            </w:r>
            <w:r w:rsidRPr="00CC39F4">
              <w:rPr>
                <w:rFonts w:ascii="Times New Roman" w:hAnsi="Times New Roman"/>
                <w:sz w:val="28"/>
                <w:szCs w:val="28"/>
              </w:rPr>
              <w:t>25</w:t>
            </w:r>
            <w:r w:rsidR="00352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млн.</w:t>
            </w:r>
            <w:r w:rsidRPr="00CC39F4">
              <w:rPr>
                <w:rFonts w:ascii="Times New Roman" w:hAnsi="Times New Roman"/>
                <w:sz w:val="28"/>
                <w:szCs w:val="28"/>
              </w:rPr>
              <w:t>773,2</w:t>
            </w: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C39F4" w:rsidRPr="00CC39F4" w:rsidRDefault="00CC39F4" w:rsidP="008B5DE1">
            <w:pPr>
              <w:tabs>
                <w:tab w:val="left" w:pos="155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2021 год -   583 тыс.рублей;</w:t>
            </w:r>
          </w:p>
          <w:p w:rsidR="00CC39F4" w:rsidRPr="00CC39F4" w:rsidRDefault="00CC39F4" w:rsidP="008B5DE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2022 год –  613 тыс.рублей;</w:t>
            </w:r>
          </w:p>
          <w:p w:rsidR="00CC39F4" w:rsidRPr="00CC39F4" w:rsidRDefault="00CC39F4" w:rsidP="008B5DE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2023 год -   370 тыс.рублей;</w:t>
            </w:r>
          </w:p>
          <w:p w:rsidR="00CC39F4" w:rsidRPr="00CC39F4" w:rsidRDefault="00CC39F4" w:rsidP="008B5DE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39F4">
              <w:rPr>
                <w:rFonts w:ascii="Times New Roman" w:hAnsi="Times New Roman"/>
                <w:color w:val="000000"/>
                <w:sz w:val="28"/>
                <w:szCs w:val="28"/>
              </w:rPr>
              <w:t>2024 год –  100 тыс.рублей.</w:t>
            </w:r>
          </w:p>
          <w:p w:rsidR="00CC39F4" w:rsidRPr="00CC39F4" w:rsidRDefault="00CC39F4" w:rsidP="000964BC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6244" w:rsidRDefault="001B6244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C879A8" w:rsidRDefault="00C879A8" w:rsidP="001B6244">
      <w:pPr>
        <w:pStyle w:val="aa"/>
        <w:rPr>
          <w:sz w:val="28"/>
          <w:szCs w:val="28"/>
        </w:rPr>
      </w:pPr>
    </w:p>
    <w:p w:rsidR="001B6244" w:rsidRPr="001B6244" w:rsidRDefault="001B6244" w:rsidP="001B6244">
      <w:pPr>
        <w:pStyle w:val="aa"/>
        <w:rPr>
          <w:b w:val="0"/>
          <w:sz w:val="28"/>
          <w:szCs w:val="28"/>
        </w:rPr>
      </w:pPr>
      <w:r w:rsidRPr="001B6244">
        <w:rPr>
          <w:sz w:val="28"/>
          <w:szCs w:val="28"/>
        </w:rPr>
        <w:lastRenderedPageBreak/>
        <w:t>АНАЛИЗ О НАЛОГАХ И СБОРАХ</w:t>
      </w:r>
    </w:p>
    <w:p w:rsidR="001B6244" w:rsidRPr="001B6244" w:rsidRDefault="001B6244" w:rsidP="001B6244">
      <w:pPr>
        <w:pStyle w:val="aa"/>
        <w:rPr>
          <w:b w:val="0"/>
          <w:sz w:val="28"/>
          <w:szCs w:val="28"/>
        </w:rPr>
      </w:pPr>
    </w:p>
    <w:p w:rsidR="001B6244" w:rsidRPr="001B6244" w:rsidRDefault="001B6244" w:rsidP="001B62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24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Саракташского поссовета   разрабатывается на основе данных социально-экономического развития Саракташского поссовета за последний отчетный период, прогноза социально-экономического развития Саракташского поссовета до конца базового года и тенденций развития экономики и социальной сферы на планируемый финансовый год.</w:t>
      </w:r>
    </w:p>
    <w:p w:rsidR="001B6244" w:rsidRPr="001B6244" w:rsidRDefault="001B6244" w:rsidP="001B6244">
      <w:pPr>
        <w:pStyle w:val="Default"/>
        <w:ind w:firstLine="700"/>
        <w:jc w:val="both"/>
        <w:rPr>
          <w:sz w:val="28"/>
          <w:szCs w:val="28"/>
        </w:rPr>
      </w:pPr>
      <w:r w:rsidRPr="001B6244">
        <w:rPr>
          <w:sz w:val="28"/>
          <w:szCs w:val="28"/>
        </w:rPr>
        <w:t>Основные  направления  налоговой политики Саракташского поссовета на 20</w:t>
      </w:r>
      <w:r w:rsidR="00C221CD">
        <w:rPr>
          <w:sz w:val="28"/>
          <w:szCs w:val="28"/>
        </w:rPr>
        <w:t>20</w:t>
      </w:r>
      <w:r w:rsidRPr="001B6244">
        <w:rPr>
          <w:sz w:val="28"/>
          <w:szCs w:val="28"/>
        </w:rPr>
        <w:t xml:space="preserve"> год и на плановый период до 2024 года (далее – Основные направления налоговой политики) разработаны с учетом стратегических целей развития Саракташского поссовета, сформулированных в соответствии с основными положениями Послания Президента Российской Федерации Федеральному Собранию Российской Федерации,  бюджетным прогнозом Саракташского поссовета. </w:t>
      </w:r>
    </w:p>
    <w:p w:rsidR="001B6244" w:rsidRPr="001B6244" w:rsidRDefault="001B6244" w:rsidP="00C16C4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244">
        <w:rPr>
          <w:rFonts w:ascii="Times New Roman" w:hAnsi="Times New Roman"/>
          <w:color w:val="000000"/>
          <w:sz w:val="28"/>
          <w:szCs w:val="28"/>
        </w:rPr>
        <w:t xml:space="preserve">Целью основных направлений налоговой политики является определение условий,  принимаемых для составления проекта бюджета на </w:t>
      </w:r>
      <w:r w:rsidRPr="001B6244">
        <w:rPr>
          <w:rFonts w:ascii="Times New Roman" w:hAnsi="Times New Roman"/>
          <w:sz w:val="28"/>
          <w:szCs w:val="28"/>
        </w:rPr>
        <w:t xml:space="preserve"> 20</w:t>
      </w:r>
      <w:r w:rsidR="00C221CD">
        <w:rPr>
          <w:rFonts w:ascii="Times New Roman" w:hAnsi="Times New Roman"/>
          <w:sz w:val="28"/>
          <w:szCs w:val="28"/>
        </w:rPr>
        <w:t>20</w:t>
      </w:r>
      <w:r w:rsidRPr="001B6244">
        <w:rPr>
          <w:rFonts w:ascii="Times New Roman" w:hAnsi="Times New Roman"/>
          <w:sz w:val="28"/>
          <w:szCs w:val="28"/>
        </w:rPr>
        <w:t xml:space="preserve"> год и на плановый период до 2024 года</w:t>
      </w:r>
      <w:r w:rsidRPr="001B6244">
        <w:rPr>
          <w:rFonts w:ascii="Times New Roman" w:hAnsi="Times New Roman"/>
          <w:color w:val="000000"/>
          <w:sz w:val="28"/>
          <w:szCs w:val="28"/>
        </w:rPr>
        <w:t xml:space="preserve">, подходов к его формированию и общего порядка разработки основных характеристик и прогнозируемых параметров бюджета. </w:t>
      </w:r>
    </w:p>
    <w:p w:rsidR="001B6244" w:rsidRPr="001B6244" w:rsidRDefault="001B6244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Главными   стратегическим  ориентирами будут являться стабильность и предсказуемость налоговой политики, а также сбалансированность фискального и стимулирующего действия налогов.</w:t>
      </w:r>
    </w:p>
    <w:p w:rsidR="001B6244" w:rsidRPr="001B6244" w:rsidRDefault="001B6244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Приоритетами Саракташского поссовета в области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налогов, а также совершенствование и оптимизация системы налогового администрирования, стимулирование развитие малого и среднего предпринимательства через специальные налоговые режимы, интеграция положений Налогового кодекса Российской Федерации в  местные нормативные правовые акты.</w:t>
      </w:r>
    </w:p>
    <w:p w:rsidR="001B6244" w:rsidRPr="001B6244" w:rsidRDefault="001B6244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При этом налоговая политика должна быть направлена на обеспечение устойчивого развития экономики и социальной стабильности в Саракташском поссовете.</w:t>
      </w:r>
    </w:p>
    <w:p w:rsidR="00C879A8" w:rsidRDefault="00C879A8" w:rsidP="00C16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244" w:rsidRPr="001B6244" w:rsidRDefault="001B6244" w:rsidP="00C16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>Основные итоги реализации налоговой политики Саракташского поссовета</w:t>
      </w:r>
    </w:p>
    <w:p w:rsidR="001B6244" w:rsidRPr="001B6244" w:rsidRDefault="001B6244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 xml:space="preserve">    В 201</w:t>
      </w:r>
      <w:r w:rsidR="00AE3E40">
        <w:rPr>
          <w:rFonts w:ascii="Times New Roman" w:hAnsi="Times New Roman"/>
          <w:sz w:val="28"/>
          <w:szCs w:val="28"/>
        </w:rPr>
        <w:t>8</w:t>
      </w:r>
      <w:r w:rsidRPr="001B6244">
        <w:rPr>
          <w:rFonts w:ascii="Times New Roman" w:hAnsi="Times New Roman"/>
          <w:sz w:val="28"/>
          <w:szCs w:val="28"/>
        </w:rPr>
        <w:t xml:space="preserve"> – 201</w:t>
      </w:r>
      <w:r w:rsidR="00AE3E40"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годах наблюдается увеличение доли налоговых и неналоговых доходов консолидированного бюджета Саракташского поссовета. Динамику поступлений доходов консолидированного бюджета Саракташского </w:t>
      </w:r>
      <w:r w:rsidR="00331BDE">
        <w:rPr>
          <w:rFonts w:ascii="Times New Roman" w:hAnsi="Times New Roman"/>
          <w:sz w:val="28"/>
          <w:szCs w:val="28"/>
        </w:rPr>
        <w:t>поссовета</w:t>
      </w:r>
      <w:r w:rsidRPr="001B6244">
        <w:rPr>
          <w:rFonts w:ascii="Times New Roman" w:hAnsi="Times New Roman"/>
          <w:sz w:val="28"/>
          <w:szCs w:val="28"/>
        </w:rPr>
        <w:t xml:space="preserve"> за период с 201</w:t>
      </w:r>
      <w:r w:rsidR="00AE3E40">
        <w:rPr>
          <w:rFonts w:ascii="Times New Roman" w:hAnsi="Times New Roman"/>
          <w:sz w:val="28"/>
          <w:szCs w:val="28"/>
        </w:rPr>
        <w:t>8</w:t>
      </w:r>
      <w:r w:rsidRPr="001B6244">
        <w:rPr>
          <w:rFonts w:ascii="Times New Roman" w:hAnsi="Times New Roman"/>
          <w:sz w:val="28"/>
          <w:szCs w:val="28"/>
        </w:rPr>
        <w:t xml:space="preserve"> года по 201</w:t>
      </w:r>
      <w:r w:rsidR="00AE3E40"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год характеризуют данные, приведенные в таблице 1.</w:t>
      </w:r>
    </w:p>
    <w:p w:rsidR="00C879A8" w:rsidRDefault="00C879A8" w:rsidP="00C16C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244" w:rsidRPr="001B6244" w:rsidRDefault="001B6244" w:rsidP="00C16C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lastRenderedPageBreak/>
        <w:t xml:space="preserve">Таблица 1. Доходы консолидированного бюджета Саракташского поссовета </w:t>
      </w:r>
    </w:p>
    <w:p w:rsidR="001B6244" w:rsidRPr="001B6244" w:rsidRDefault="001B6244" w:rsidP="00C16C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в 201</w:t>
      </w:r>
      <w:r w:rsidR="00AE3E40">
        <w:rPr>
          <w:rFonts w:ascii="Times New Roman" w:hAnsi="Times New Roman"/>
          <w:sz w:val="28"/>
          <w:szCs w:val="28"/>
        </w:rPr>
        <w:t>8</w:t>
      </w:r>
      <w:r w:rsidRPr="001B6244">
        <w:rPr>
          <w:rFonts w:ascii="Times New Roman" w:hAnsi="Times New Roman"/>
          <w:sz w:val="28"/>
          <w:szCs w:val="28"/>
        </w:rPr>
        <w:t>–201</w:t>
      </w:r>
      <w:r w:rsidR="00AE3E40"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годах </w:t>
      </w:r>
    </w:p>
    <w:p w:rsidR="001B6244" w:rsidRPr="001B6244" w:rsidRDefault="001B6244" w:rsidP="00C16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>Анализ о налогах и сборах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134"/>
        <w:gridCol w:w="993"/>
        <w:gridCol w:w="1134"/>
        <w:gridCol w:w="1134"/>
        <w:gridCol w:w="992"/>
      </w:tblGrid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Налоги</w:t>
            </w:r>
          </w:p>
        </w:tc>
        <w:tc>
          <w:tcPr>
            <w:tcW w:w="3261" w:type="dxa"/>
            <w:gridSpan w:val="3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E3E4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 xml:space="preserve">(план, факт </w:t>
            </w:r>
          </w:p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тыс.руб, % исполнения)</w:t>
            </w:r>
          </w:p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E3E4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 xml:space="preserve">(план, факт </w:t>
            </w:r>
          </w:p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за 10 мес)</w:t>
            </w:r>
          </w:p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244">
              <w:rPr>
                <w:rFonts w:ascii="Times New Roman" w:hAnsi="Times New Roman"/>
                <w:b/>
                <w:sz w:val="28"/>
                <w:szCs w:val="28"/>
              </w:rPr>
              <w:t>тыс.руб, % исполнения)</w:t>
            </w:r>
          </w:p>
        </w:tc>
      </w:tr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212</w:t>
            </w:r>
            <w:r w:rsidR="00AE3E40">
              <w:rPr>
                <w:rFonts w:ascii="Times New Roman" w:hAnsi="Times New Roman"/>
                <w:sz w:val="28"/>
                <w:szCs w:val="28"/>
              </w:rPr>
              <w:t>89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B6244" w:rsidRPr="001B6244" w:rsidRDefault="00AE3E40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2</w:t>
            </w:r>
            <w:r w:rsidR="00AE3E40">
              <w:rPr>
                <w:rFonts w:ascii="Times New Roman" w:hAnsi="Times New Roman"/>
                <w:sz w:val="28"/>
                <w:szCs w:val="28"/>
              </w:rPr>
              <w:t>3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2</w:t>
            </w:r>
            <w:r w:rsidR="00AE3E40">
              <w:rPr>
                <w:rFonts w:ascii="Times New Roman" w:hAnsi="Times New Roman"/>
                <w:sz w:val="28"/>
                <w:szCs w:val="28"/>
              </w:rPr>
              <w:t>7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</w:t>
            </w:r>
            <w:r w:rsidR="00AE3E40">
              <w:rPr>
                <w:rFonts w:ascii="Times New Roman" w:hAnsi="Times New Roman"/>
                <w:sz w:val="28"/>
                <w:szCs w:val="28"/>
              </w:rPr>
              <w:t>954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3</w:t>
            </w:r>
            <w:r w:rsidR="00AE3E4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78,8%</w:t>
            </w:r>
          </w:p>
        </w:tc>
      </w:tr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3</w:t>
            </w:r>
            <w:r w:rsidR="00AE3E40">
              <w:rPr>
                <w:rFonts w:ascii="Times New Roman" w:hAnsi="Times New Roman"/>
                <w:sz w:val="28"/>
                <w:szCs w:val="28"/>
              </w:rPr>
              <w:t>98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,</w:t>
            </w:r>
            <w:r w:rsidR="00AE3E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89,6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288,0</w:t>
            </w:r>
          </w:p>
        </w:tc>
        <w:tc>
          <w:tcPr>
            <w:tcW w:w="992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8</w:t>
            </w:r>
            <w:r w:rsidR="00AE3E40">
              <w:rPr>
                <w:rFonts w:ascii="Times New Roman" w:hAnsi="Times New Roman"/>
                <w:sz w:val="28"/>
                <w:szCs w:val="28"/>
              </w:rPr>
              <w:t>3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,</w:t>
            </w:r>
            <w:r w:rsidR="00AE3E40">
              <w:rPr>
                <w:rFonts w:ascii="Times New Roman" w:hAnsi="Times New Roman"/>
                <w:sz w:val="28"/>
                <w:szCs w:val="28"/>
              </w:rPr>
              <w:t>0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12018,6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10703,4</w:t>
            </w:r>
          </w:p>
        </w:tc>
        <w:tc>
          <w:tcPr>
            <w:tcW w:w="993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11161,0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5547,7</w:t>
            </w:r>
          </w:p>
        </w:tc>
        <w:tc>
          <w:tcPr>
            <w:tcW w:w="992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5</w:t>
            </w:r>
            <w:r w:rsidR="00AE3E4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1013,5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</w:t>
            </w:r>
            <w:r w:rsidR="00AE3E40">
              <w:rPr>
                <w:rFonts w:ascii="Times New Roman" w:hAnsi="Times New Roman"/>
                <w:sz w:val="28"/>
                <w:szCs w:val="28"/>
              </w:rPr>
              <w:t>000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,</w:t>
            </w:r>
            <w:r w:rsidR="00AE3E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</w:t>
            </w:r>
            <w:r w:rsidR="00AE3E40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1227,3</w:t>
            </w:r>
          </w:p>
        </w:tc>
        <w:tc>
          <w:tcPr>
            <w:tcW w:w="992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102,4</w:t>
            </w:r>
          </w:p>
        </w:tc>
      </w:tr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Акцизы от продажи ГСМ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7620,5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7</w:t>
            </w:r>
            <w:r w:rsidR="00AE3E40">
              <w:rPr>
                <w:rFonts w:ascii="Times New Roman" w:hAnsi="Times New Roman"/>
                <w:sz w:val="28"/>
                <w:szCs w:val="28"/>
              </w:rPr>
              <w:t>621,6</w:t>
            </w:r>
          </w:p>
        </w:tc>
        <w:tc>
          <w:tcPr>
            <w:tcW w:w="993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B6244" w:rsidRPr="001B6244" w:rsidRDefault="00AE3E40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8086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7341,5</w:t>
            </w:r>
          </w:p>
        </w:tc>
        <w:tc>
          <w:tcPr>
            <w:tcW w:w="992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</w:tr>
      <w:tr w:rsidR="001B6244" w:rsidRPr="001B6244" w:rsidTr="00ED0059">
        <w:tc>
          <w:tcPr>
            <w:tcW w:w="709" w:type="dxa"/>
          </w:tcPr>
          <w:p w:rsidR="001B6244" w:rsidRPr="001B6244" w:rsidRDefault="001B6244" w:rsidP="00C16C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1B6244" w:rsidRPr="001B6244" w:rsidRDefault="001B6244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Налог на имущество     физ. лиц</w:t>
            </w:r>
          </w:p>
        </w:tc>
        <w:tc>
          <w:tcPr>
            <w:tcW w:w="1134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1380,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</w:t>
            </w:r>
            <w:r w:rsidR="00AE3E40">
              <w:rPr>
                <w:rFonts w:ascii="Times New Roman" w:hAnsi="Times New Roman"/>
                <w:sz w:val="28"/>
                <w:szCs w:val="28"/>
              </w:rPr>
              <w:t>015,8</w:t>
            </w:r>
          </w:p>
        </w:tc>
        <w:tc>
          <w:tcPr>
            <w:tcW w:w="993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75,</w:t>
            </w:r>
            <w:r w:rsidR="00AE3E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B6244" w:rsidRPr="001B6244" w:rsidRDefault="001B6244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244">
              <w:rPr>
                <w:rFonts w:ascii="Times New Roman" w:hAnsi="Times New Roman"/>
                <w:sz w:val="28"/>
                <w:szCs w:val="28"/>
              </w:rPr>
              <w:t>1</w:t>
            </w:r>
            <w:r w:rsidR="00AE3E40">
              <w:rPr>
                <w:rFonts w:ascii="Times New Roman" w:hAnsi="Times New Roman"/>
                <w:sz w:val="28"/>
                <w:szCs w:val="28"/>
              </w:rPr>
              <w:t>230</w:t>
            </w:r>
            <w:r w:rsidRPr="001B62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B6244" w:rsidRPr="001B6244" w:rsidRDefault="00AE3E40" w:rsidP="00AE3E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641,5</w:t>
            </w:r>
          </w:p>
        </w:tc>
        <w:tc>
          <w:tcPr>
            <w:tcW w:w="992" w:type="dxa"/>
          </w:tcPr>
          <w:p w:rsidR="001B6244" w:rsidRPr="001B6244" w:rsidRDefault="00AE3E40" w:rsidP="00C16C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1B6244" w:rsidRPr="001B6244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</w:tbl>
    <w:p w:rsidR="001B6244" w:rsidRPr="001B6244" w:rsidRDefault="001B6244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В структуре налоговых и неналоговых доходов бюджета наибольший удельный вес занимает налог на доходы физических лиц.</w:t>
      </w:r>
    </w:p>
    <w:p w:rsidR="001B6244" w:rsidRPr="001B6244" w:rsidRDefault="001B6244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В 201</w:t>
      </w:r>
      <w:r w:rsidR="00AE3E40"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году по сравнению с аналогичным периодом прошлого года поступления налога на доходы физических лиц увеличились в связи с увеличением норматива отчислений в бюджеты поселений и увеличением допнорматива.</w:t>
      </w:r>
    </w:p>
    <w:p w:rsidR="001B6244" w:rsidRPr="001B6244" w:rsidRDefault="001B6244" w:rsidP="00C16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244">
        <w:rPr>
          <w:rFonts w:ascii="Times New Roman" w:hAnsi="Times New Roman" w:cs="Times New Roman"/>
          <w:sz w:val="28"/>
          <w:szCs w:val="28"/>
        </w:rPr>
        <w:t>С 1 января 2016 года предусмотрены единые сроки уплаты физическими лицами земельного налога и налога на имущество физических лиц – не позднее 1 декабря года, следующего за истекшим налоговым периодом.</w:t>
      </w:r>
    </w:p>
    <w:p w:rsidR="00C879A8" w:rsidRDefault="00C879A8" w:rsidP="00C16C4C">
      <w:pPr>
        <w:pStyle w:val="2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B6244" w:rsidRPr="001B6244" w:rsidRDefault="001B6244" w:rsidP="00C16C4C">
      <w:pPr>
        <w:pStyle w:val="2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>ПРОМЫШЛЕННОСТЬ</w:t>
      </w:r>
    </w:p>
    <w:p w:rsidR="001B6244" w:rsidRPr="001B6244" w:rsidRDefault="001B6244" w:rsidP="00C16C4C">
      <w:pPr>
        <w:pStyle w:val="ae"/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>Промышленность поселка Саракташ представлена крупными и средними предприятиями: ООО «Саракташский механический  завод»  и ООО «Промдеталь» (группа компаний завода «Коммунар»), ООО «Саракташский консервный завод», а также субъектами предпринимательства, занимающимися промышленным производством  и цехами непромышленных производств.</w:t>
      </w:r>
    </w:p>
    <w:p w:rsidR="001B6244" w:rsidRPr="001B6244" w:rsidRDefault="001B6244" w:rsidP="00C16C4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t>Прогноз объема отгруженных товаров собственного производства, выполненных работ и услуг собственными силами на 20</w:t>
      </w:r>
      <w:r w:rsidR="00F46ECB">
        <w:rPr>
          <w:rFonts w:ascii="Times New Roman" w:hAnsi="Times New Roman"/>
          <w:sz w:val="28"/>
          <w:szCs w:val="28"/>
        </w:rPr>
        <w:t>20</w:t>
      </w:r>
      <w:r w:rsidRPr="001B6244">
        <w:rPr>
          <w:rFonts w:ascii="Times New Roman" w:hAnsi="Times New Roman"/>
          <w:sz w:val="28"/>
          <w:szCs w:val="28"/>
        </w:rPr>
        <w:t xml:space="preserve">-2024г разработан </w:t>
      </w:r>
      <w:r w:rsidRPr="001B6244">
        <w:rPr>
          <w:rFonts w:ascii="Times New Roman" w:hAnsi="Times New Roman"/>
          <w:sz w:val="28"/>
          <w:szCs w:val="28"/>
        </w:rPr>
        <w:lastRenderedPageBreak/>
        <w:t>исходя из анализа отчетных данных 201</w:t>
      </w:r>
      <w:r w:rsidR="00F46ECB">
        <w:rPr>
          <w:rFonts w:ascii="Times New Roman" w:hAnsi="Times New Roman"/>
          <w:sz w:val="28"/>
          <w:szCs w:val="28"/>
        </w:rPr>
        <w:t>7</w:t>
      </w:r>
      <w:r w:rsidRPr="001B6244">
        <w:rPr>
          <w:rFonts w:ascii="Times New Roman" w:hAnsi="Times New Roman"/>
          <w:sz w:val="28"/>
          <w:szCs w:val="28"/>
        </w:rPr>
        <w:t>-201</w:t>
      </w:r>
      <w:r w:rsidR="00F46ECB">
        <w:rPr>
          <w:rFonts w:ascii="Times New Roman" w:hAnsi="Times New Roman"/>
          <w:sz w:val="28"/>
          <w:szCs w:val="28"/>
        </w:rPr>
        <w:t>8</w:t>
      </w:r>
      <w:r w:rsidRPr="001B6244">
        <w:rPr>
          <w:rFonts w:ascii="Times New Roman" w:hAnsi="Times New Roman"/>
          <w:sz w:val="28"/>
          <w:szCs w:val="28"/>
        </w:rPr>
        <w:t>г, первого полугодия текущего года и оценки объемов 201</w:t>
      </w:r>
      <w:r w:rsidR="00F46ECB"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года. Также учитывались прогнозные данные, представленные промышленными предприятиями поселка.</w:t>
      </w:r>
    </w:p>
    <w:p w:rsidR="00F46ECB" w:rsidRPr="00F46ECB" w:rsidRDefault="003E5FE9" w:rsidP="00F46EC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F46ECB">
        <w:rPr>
          <w:rFonts w:ascii="Times New Roman" w:hAnsi="Times New Roman"/>
          <w:sz w:val="28"/>
          <w:szCs w:val="24"/>
        </w:rPr>
        <w:t>По праву визитной карточкой поселка</w:t>
      </w:r>
      <w:r w:rsidR="00F46ECB" w:rsidRPr="00F46ECB">
        <w:rPr>
          <w:rFonts w:ascii="Times New Roman" w:hAnsi="Times New Roman"/>
          <w:sz w:val="28"/>
          <w:szCs w:val="24"/>
        </w:rPr>
        <w:t xml:space="preserve">  является Потребительский кооператив «Саракташский консервный завод».  </w:t>
      </w:r>
    </w:p>
    <w:p w:rsidR="00F46ECB" w:rsidRP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В отчётном году производство консервной  продукции на предприятии составило 28 млн.рублей, или 1,5 тыс.туб, что на уровне предыдущего года.</w:t>
      </w:r>
    </w:p>
    <w:p w:rsidR="00F46ECB" w:rsidRP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В настоящее время предприятие вырабатывает 30 наименований  различной продукции. Ассортимент постоянно расширяется.  Предприятие регулярно принимает участие и занимает призовые места в выставках на различных уровнях.</w:t>
      </w:r>
    </w:p>
    <w:p w:rsidR="00F46ECB" w:rsidRP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Предприятием ООО «Кооппром» произведено в отчётном году 15,1 дкл минеральной воды, или 73% к уровню  предыдущего года.</w:t>
      </w:r>
    </w:p>
    <w:p w:rsidR="00F46ECB" w:rsidRP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</w:t>
      </w:r>
      <w:r w:rsidR="00331BDE" w:rsidRPr="00F46ECB">
        <w:rPr>
          <w:rFonts w:ascii="Times New Roman" w:hAnsi="Times New Roman"/>
          <w:sz w:val="28"/>
          <w:szCs w:val="24"/>
        </w:rPr>
        <w:t>Рост  производства достигнут на таких предприятиях как ООО «Мехзавод», ООО «Промдеталь»</w:t>
      </w:r>
      <w:r w:rsidR="003E5FE9">
        <w:rPr>
          <w:rFonts w:ascii="Times New Roman" w:hAnsi="Times New Roman"/>
          <w:sz w:val="28"/>
          <w:szCs w:val="24"/>
        </w:rPr>
        <w:t xml:space="preserve">, </w:t>
      </w:r>
      <w:r w:rsidRPr="00F46ECB">
        <w:rPr>
          <w:rFonts w:ascii="Times New Roman" w:hAnsi="Times New Roman"/>
          <w:sz w:val="28"/>
          <w:szCs w:val="24"/>
        </w:rPr>
        <w:t>которые занимаются производством гидроагрегатов, насосов, клапанной аппаратуры, станций смазки и др., отлитием чугунного и стального литья.</w:t>
      </w:r>
    </w:p>
    <w:p w:rsid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Производство продукции  машиностроительного комплекса составило 110,8 млн.рублей, или 122,6% к предыдущему году.</w:t>
      </w:r>
    </w:p>
    <w:p w:rsidR="00F46ECB" w:rsidRPr="00F46ECB" w:rsidRDefault="003E5FE9" w:rsidP="00F46EC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="00F46ECB" w:rsidRPr="00F46ECB">
        <w:rPr>
          <w:rFonts w:ascii="Times New Roman" w:hAnsi="Times New Roman"/>
          <w:sz w:val="28"/>
          <w:szCs w:val="24"/>
        </w:rPr>
        <w:t>Предприятие ООО «Промдеталь» планирует увеличение объёмов производства за счёт выпуска серийной продукции, литейного производства, а также за счёт изготовления прессов.</w:t>
      </w:r>
    </w:p>
    <w:p w:rsidR="00F46ECB" w:rsidRP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ООО «Мехзавод» планирует обновление станочного парка, что позволит увеличить количество и качество выпускаемой продукции.</w:t>
      </w:r>
    </w:p>
    <w:p w:rsid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Постоянно ведут работы по освоению новых видов выпускаемых изделий, поиску новых заказчиков.  ООО «Мехзавод» в 2018 году началась работа по освоению новых  испытательных стендов для ОАО «Жилдорреммаш» г. Оренбург, а также изготовление новых деталей для АО «Уральская сталь».</w:t>
      </w:r>
    </w:p>
    <w:p w:rsidR="00F46ECB" w:rsidRPr="00F46ECB" w:rsidRDefault="003E5FE9" w:rsidP="00F46EC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="00F46ECB" w:rsidRPr="00F46ECB">
        <w:rPr>
          <w:rFonts w:ascii="Times New Roman" w:hAnsi="Times New Roman"/>
          <w:sz w:val="28"/>
          <w:szCs w:val="24"/>
        </w:rPr>
        <w:t>ООО ТД «Завод-Коммунар»  в текущем году  планирует приобрести индукционную печь и станцию охлаждения при условии одобрения микрозайма на сумму от 3х до 5 млн.</w:t>
      </w:r>
      <w:r w:rsidR="00F46ECB">
        <w:rPr>
          <w:rFonts w:ascii="Times New Roman" w:hAnsi="Times New Roman"/>
          <w:sz w:val="28"/>
          <w:szCs w:val="24"/>
        </w:rPr>
        <w:t xml:space="preserve"> </w:t>
      </w:r>
      <w:r w:rsidR="00F46ECB" w:rsidRPr="00F46ECB">
        <w:rPr>
          <w:rFonts w:ascii="Times New Roman" w:hAnsi="Times New Roman"/>
          <w:sz w:val="28"/>
          <w:szCs w:val="24"/>
        </w:rPr>
        <w:t>руб со стороны Гарантийного Фонда.</w:t>
      </w:r>
    </w:p>
    <w:p w:rsidR="00F46ECB" w:rsidRDefault="00F46ECB" w:rsidP="00F46ECB">
      <w:pPr>
        <w:jc w:val="both"/>
        <w:rPr>
          <w:rFonts w:ascii="Times New Roman" w:hAnsi="Times New Roman"/>
          <w:sz w:val="28"/>
          <w:szCs w:val="24"/>
        </w:rPr>
      </w:pPr>
      <w:r w:rsidRPr="00F46ECB">
        <w:rPr>
          <w:rFonts w:ascii="Times New Roman" w:hAnsi="Times New Roman"/>
          <w:sz w:val="28"/>
          <w:szCs w:val="24"/>
        </w:rPr>
        <w:t xml:space="preserve">         Практически все предприятия </w:t>
      </w:r>
      <w:r>
        <w:rPr>
          <w:rFonts w:ascii="Times New Roman" w:hAnsi="Times New Roman"/>
          <w:sz w:val="28"/>
          <w:szCs w:val="24"/>
        </w:rPr>
        <w:t>поселка</w:t>
      </w:r>
      <w:r w:rsidRPr="00F46ECB">
        <w:rPr>
          <w:rFonts w:ascii="Times New Roman" w:hAnsi="Times New Roman"/>
          <w:sz w:val="28"/>
          <w:szCs w:val="24"/>
        </w:rPr>
        <w:t xml:space="preserve"> прогнозируют рост объемов отгруженных товаров собственного производства: ПК «Саракташский консервный завод» (по 1 варианту – 116%, по 2 варианту – 118,3%), ООО «Промдеталь» (100,1%-100,5%), ООО «Мехзавод» (100,6% - 101,3%). </w:t>
      </w:r>
    </w:p>
    <w:p w:rsidR="00F46ECB" w:rsidRPr="00F46ECB" w:rsidRDefault="003E5FE9" w:rsidP="00F46EC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</w:t>
      </w:r>
      <w:r w:rsidR="00F46ECB" w:rsidRPr="00F46ECB">
        <w:rPr>
          <w:rFonts w:ascii="Times New Roman" w:hAnsi="Times New Roman"/>
          <w:sz w:val="28"/>
          <w:szCs w:val="24"/>
        </w:rPr>
        <w:t>Ниже   уровня предыдущего года имеет производственные показатели  цех хлебобулочных изделий ПО «Саракташское».</w:t>
      </w:r>
      <w:r w:rsidR="00F46ECB">
        <w:rPr>
          <w:rFonts w:ascii="Times New Roman" w:hAnsi="Times New Roman"/>
          <w:sz w:val="28"/>
          <w:szCs w:val="24"/>
        </w:rPr>
        <w:t xml:space="preserve"> </w:t>
      </w:r>
      <w:r w:rsidR="00F46ECB" w:rsidRPr="00F46ECB">
        <w:rPr>
          <w:rFonts w:ascii="Times New Roman" w:hAnsi="Times New Roman"/>
          <w:sz w:val="28"/>
          <w:szCs w:val="24"/>
        </w:rPr>
        <w:t>Отмечается снижение  как хлебобулочных, так и кондитерских изделий.</w:t>
      </w:r>
    </w:p>
    <w:p w:rsidR="00F46ECB" w:rsidRPr="00F46ECB" w:rsidRDefault="003E5FE9" w:rsidP="00F46EC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F46ECB" w:rsidRPr="00F46ECB">
        <w:rPr>
          <w:rFonts w:ascii="Times New Roman" w:hAnsi="Times New Roman"/>
          <w:sz w:val="28"/>
          <w:szCs w:val="24"/>
        </w:rPr>
        <w:t>Также снижение отмечается на предприятии ООО «Водоканал» в связи с отказом населения от полива придомовых участков и установкой населением и бюджетными организациями водяных счётчиков, а также  ООО «Теплосеть» в связи с сокращением отапливаемых объектов по ГБУЗ «Саракташская ЦРБ».</w:t>
      </w:r>
    </w:p>
    <w:p w:rsidR="00F46ECB" w:rsidRPr="00F46ECB" w:rsidRDefault="003E5FE9" w:rsidP="00F46ECB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F46ECB" w:rsidRPr="00F46ECB">
        <w:rPr>
          <w:rFonts w:ascii="Times New Roman" w:hAnsi="Times New Roman"/>
          <w:sz w:val="28"/>
          <w:szCs w:val="24"/>
        </w:rPr>
        <w:t xml:space="preserve">В 2020-2024 гг.  на промышленных предприятиях </w:t>
      </w:r>
      <w:r w:rsidR="00F46ECB">
        <w:rPr>
          <w:rFonts w:ascii="Times New Roman" w:hAnsi="Times New Roman"/>
          <w:sz w:val="28"/>
          <w:szCs w:val="24"/>
        </w:rPr>
        <w:t>поселка</w:t>
      </w:r>
      <w:r w:rsidR="00F46ECB" w:rsidRPr="00F46ECB">
        <w:rPr>
          <w:rFonts w:ascii="Times New Roman" w:hAnsi="Times New Roman"/>
          <w:sz w:val="28"/>
          <w:szCs w:val="24"/>
        </w:rPr>
        <w:t xml:space="preserve"> продолжится работа по реконструкции производства, внедрению новых технологий, по освоению новых видов продукции, поиску новых рынков сбыта и источников сырья, что  позволит добиться ожидаемых объемов. В целях расширения рынков сбыта все промышленные предприятия будут активно участвовать в закупках продукции для государственных и муниципальных нужд, а также будут принимать участие в выставках на различных уровнях с целью продвижения своей продукции.</w:t>
      </w:r>
    </w:p>
    <w:p w:rsidR="009B2419" w:rsidRPr="009B2419" w:rsidRDefault="009B2419" w:rsidP="00C879A8">
      <w:pPr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9B2419">
        <w:rPr>
          <w:rFonts w:ascii="Times New Roman" w:hAnsi="Times New Roman"/>
          <w:b/>
          <w:bCs/>
          <w:spacing w:val="2"/>
          <w:sz w:val="28"/>
          <w:szCs w:val="28"/>
        </w:rPr>
        <w:t>ИНВЕСТИЦИИ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На территории муниципального образования создается благоприятный инвестиционный и предпринимательский климат.</w:t>
      </w:r>
    </w:p>
    <w:p w:rsidR="00CF1DA6" w:rsidRPr="00C879A8" w:rsidRDefault="009B2419" w:rsidP="00CF1DA6">
      <w:pPr>
        <w:jc w:val="both"/>
        <w:rPr>
          <w:rFonts w:ascii="Times New Roman" w:hAnsi="Times New Roman"/>
          <w:sz w:val="28"/>
          <w:szCs w:val="24"/>
        </w:rPr>
      </w:pPr>
      <w:r w:rsidRPr="009B2419">
        <w:rPr>
          <w:rFonts w:ascii="Times New Roman" w:hAnsi="Times New Roman"/>
          <w:sz w:val="28"/>
          <w:szCs w:val="28"/>
        </w:rPr>
        <w:t xml:space="preserve">       </w:t>
      </w:r>
      <w:r w:rsidR="00CF1DA6" w:rsidRPr="00C879A8">
        <w:rPr>
          <w:rFonts w:ascii="Times New Roman" w:hAnsi="Times New Roman"/>
          <w:sz w:val="28"/>
          <w:szCs w:val="24"/>
        </w:rPr>
        <w:t xml:space="preserve">Муниципальное образование «Саракташский </w:t>
      </w:r>
      <w:r w:rsidR="00331BDE">
        <w:rPr>
          <w:rFonts w:ascii="Times New Roman" w:hAnsi="Times New Roman"/>
          <w:sz w:val="28"/>
          <w:szCs w:val="24"/>
        </w:rPr>
        <w:t>поссовет</w:t>
      </w:r>
      <w:r w:rsidR="00CF1DA6" w:rsidRPr="00C879A8">
        <w:rPr>
          <w:rFonts w:ascii="Times New Roman" w:hAnsi="Times New Roman"/>
          <w:sz w:val="28"/>
          <w:szCs w:val="24"/>
        </w:rPr>
        <w:t xml:space="preserve">» является инвестиционно-привлекательным районом Оренбургской области, имеются значительные возможности для притока инвестиций и нам есть, что предложить инвестору это прежде всего: </w:t>
      </w:r>
    </w:p>
    <w:p w:rsidR="00CF1DA6" w:rsidRPr="00C879A8" w:rsidRDefault="00CF1DA6" w:rsidP="00CF1DA6">
      <w:pPr>
        <w:jc w:val="both"/>
        <w:rPr>
          <w:rFonts w:ascii="Times New Roman" w:hAnsi="Times New Roman"/>
          <w:sz w:val="28"/>
          <w:szCs w:val="24"/>
        </w:rPr>
      </w:pPr>
      <w:r w:rsidRPr="00C879A8">
        <w:rPr>
          <w:rFonts w:ascii="Times New Roman" w:hAnsi="Times New Roman"/>
          <w:sz w:val="28"/>
          <w:szCs w:val="24"/>
        </w:rPr>
        <w:t>-имеются   резервные мощности в промышленности  по организации новых производств;</w:t>
      </w:r>
    </w:p>
    <w:p w:rsidR="00CF1DA6" w:rsidRPr="00C879A8" w:rsidRDefault="00CF1DA6" w:rsidP="00CF1DA6">
      <w:pPr>
        <w:jc w:val="both"/>
        <w:rPr>
          <w:rFonts w:ascii="Times New Roman" w:hAnsi="Times New Roman"/>
          <w:sz w:val="28"/>
          <w:szCs w:val="24"/>
        </w:rPr>
      </w:pPr>
      <w:r w:rsidRPr="00C879A8">
        <w:rPr>
          <w:rFonts w:ascii="Times New Roman" w:hAnsi="Times New Roman"/>
          <w:sz w:val="28"/>
          <w:szCs w:val="24"/>
        </w:rPr>
        <w:t>-наличие артезианских источников, месторождений полезных ископаемых, привлекательных для инвестора;</w:t>
      </w:r>
    </w:p>
    <w:p w:rsidR="00CF1DA6" w:rsidRPr="00C879A8" w:rsidRDefault="00CF1DA6" w:rsidP="00CF1DA6">
      <w:pPr>
        <w:jc w:val="both"/>
        <w:rPr>
          <w:rFonts w:ascii="Times New Roman" w:hAnsi="Times New Roman"/>
          <w:sz w:val="28"/>
          <w:szCs w:val="24"/>
        </w:rPr>
      </w:pPr>
      <w:r w:rsidRPr="00C879A8">
        <w:rPr>
          <w:rFonts w:ascii="Times New Roman" w:hAnsi="Times New Roman"/>
          <w:sz w:val="28"/>
          <w:szCs w:val="24"/>
        </w:rPr>
        <w:t>-богатый потенциал рекреационных ресурсов  может послужить основой для развития туризма на территории района. Как пример  - туристический маршрут Музейно – исторический комплекс им. В.С. Черномырдина, Свято – Троицкая Симеонова обитель Милосердия, историко – культурный комплекс «Красная гора» (место сьемок фильма «Русский бунт»), Свято - Андреевский мужской монастырь.</w:t>
      </w:r>
    </w:p>
    <w:p w:rsidR="00CF1DA6" w:rsidRPr="00C879A8" w:rsidRDefault="00CF1DA6" w:rsidP="00CF1DA6">
      <w:pPr>
        <w:jc w:val="both"/>
        <w:rPr>
          <w:rFonts w:ascii="Times New Roman" w:hAnsi="Times New Roman"/>
          <w:sz w:val="28"/>
          <w:szCs w:val="24"/>
        </w:rPr>
      </w:pPr>
      <w:r w:rsidRPr="00C879A8">
        <w:rPr>
          <w:rFonts w:ascii="Times New Roman" w:hAnsi="Times New Roman"/>
          <w:sz w:val="28"/>
          <w:szCs w:val="24"/>
        </w:rPr>
        <w:t>На сегодняшний день имеется несколько инвестиционных площадок:</w:t>
      </w:r>
    </w:p>
    <w:p w:rsidR="00CF1DA6" w:rsidRPr="00C879A8" w:rsidRDefault="00CF1DA6" w:rsidP="00CF1DA6">
      <w:pPr>
        <w:jc w:val="both"/>
        <w:rPr>
          <w:rFonts w:ascii="Times New Roman" w:hAnsi="Times New Roman"/>
          <w:sz w:val="28"/>
          <w:szCs w:val="24"/>
        </w:rPr>
      </w:pPr>
      <w:r w:rsidRPr="00C879A8">
        <w:rPr>
          <w:rFonts w:ascii="Times New Roman" w:hAnsi="Times New Roman"/>
          <w:sz w:val="28"/>
          <w:szCs w:val="24"/>
        </w:rPr>
        <w:tab/>
        <w:t xml:space="preserve"> - Строительство солнечной электростанции мощностью 15 МВт на землях МО Саракташский поссовет. В настоящее время   земельный участок площадью 65 га поставлен на кадастровый учёт для предоставления под строительство</w:t>
      </w:r>
    </w:p>
    <w:p w:rsidR="00CF1DA6" w:rsidRPr="00C879A8" w:rsidRDefault="00CF1DA6" w:rsidP="00CF1DA6">
      <w:pPr>
        <w:jc w:val="both"/>
        <w:rPr>
          <w:rFonts w:ascii="Times New Roman" w:hAnsi="Times New Roman"/>
          <w:sz w:val="28"/>
          <w:szCs w:val="24"/>
        </w:rPr>
      </w:pPr>
      <w:r w:rsidRPr="00C879A8">
        <w:rPr>
          <w:rFonts w:ascii="Times New Roman" w:hAnsi="Times New Roman"/>
          <w:sz w:val="28"/>
          <w:szCs w:val="24"/>
        </w:rPr>
        <w:lastRenderedPageBreak/>
        <w:t xml:space="preserve"> - Строительство кирпичного завода. </w:t>
      </w:r>
      <w:r w:rsidRPr="00C879A8">
        <w:rPr>
          <w:rFonts w:ascii="Times New Roman" w:hAnsi="Times New Roman"/>
          <w:sz w:val="28"/>
          <w:szCs w:val="24"/>
        </w:rPr>
        <w:tab/>
        <w:t>Имеются три площадки с залежами глин оцениваемым объёмом в 25 млн. м3, для производства кирпича: в южной части п. Саракташ, в северо-западной части с. Воздвиженка, в западной части с. 1-ая Александровка. Проектная мощность – до 25млн.шт. в год</w:t>
      </w:r>
    </w:p>
    <w:p w:rsidR="009B2419" w:rsidRPr="009B2419" w:rsidRDefault="009B2419" w:rsidP="00C16C4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2419">
        <w:rPr>
          <w:rFonts w:ascii="Times New Roman" w:hAnsi="Times New Roman"/>
          <w:b/>
          <w:color w:val="000000"/>
          <w:sz w:val="28"/>
          <w:szCs w:val="28"/>
        </w:rPr>
        <w:t>СТРОИТЕЛЬСТВО</w:t>
      </w:r>
    </w:p>
    <w:p w:rsidR="009B2419" w:rsidRPr="00C879A8" w:rsidRDefault="009B2419" w:rsidP="00C16C4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41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879A8">
        <w:rPr>
          <w:rFonts w:ascii="Times New Roman" w:hAnsi="Times New Roman"/>
          <w:color w:val="000000"/>
          <w:sz w:val="28"/>
          <w:szCs w:val="28"/>
        </w:rPr>
        <w:t xml:space="preserve">Строительство в </w:t>
      </w:r>
      <w:r w:rsidRPr="00C879A8">
        <w:rPr>
          <w:rFonts w:ascii="Times New Roman" w:hAnsi="Times New Roman"/>
          <w:sz w:val="28"/>
          <w:szCs w:val="28"/>
        </w:rPr>
        <w:t>поселк</w:t>
      </w:r>
      <w:r w:rsidRPr="00C879A8">
        <w:rPr>
          <w:rFonts w:ascii="Times New Roman" w:hAnsi="Times New Roman"/>
          <w:color w:val="000000"/>
          <w:sz w:val="28"/>
          <w:szCs w:val="28"/>
        </w:rPr>
        <w:t xml:space="preserve">е по-прежнему остается приоритетным направлением. В качестве первоочередных решаются вопросы  строительства жилья,  объектов социальной инфраструктуры,  ЖКХ и благоустройства. </w:t>
      </w:r>
    </w:p>
    <w:p w:rsidR="009B2419" w:rsidRPr="00C879A8" w:rsidRDefault="009B2419" w:rsidP="00C16C4C">
      <w:pPr>
        <w:spacing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   </w:t>
      </w:r>
      <w:r w:rsidRPr="00C879A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CF1DA6" w:rsidRPr="00C879A8">
        <w:rPr>
          <w:rFonts w:ascii="Times New Roman" w:hAnsi="Times New Roman"/>
          <w:color w:val="000000"/>
          <w:sz w:val="28"/>
          <w:szCs w:val="28"/>
        </w:rPr>
        <w:t>9</w:t>
      </w:r>
      <w:r w:rsidRPr="00C879A8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CF1DA6" w:rsidRPr="00C879A8" w:rsidRDefault="009B2419" w:rsidP="00CF1DA6">
      <w:pPr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F1DA6" w:rsidRPr="00C879A8">
        <w:rPr>
          <w:rFonts w:ascii="Times New Roman" w:hAnsi="Times New Roman"/>
          <w:sz w:val="28"/>
          <w:szCs w:val="28"/>
        </w:rPr>
        <w:t xml:space="preserve">В первую очередь вопрос стоит </w:t>
      </w:r>
      <w:r w:rsidR="00CF1DA6" w:rsidRPr="003C0CE9">
        <w:rPr>
          <w:rFonts w:ascii="Times New Roman" w:hAnsi="Times New Roman"/>
          <w:sz w:val="28"/>
          <w:szCs w:val="28"/>
        </w:rPr>
        <w:t>по освещению пос. Саракташ</w:t>
      </w:r>
      <w:r w:rsidR="00CF1DA6" w:rsidRPr="00C879A8">
        <w:rPr>
          <w:rFonts w:ascii="Times New Roman" w:hAnsi="Times New Roman"/>
          <w:sz w:val="28"/>
          <w:szCs w:val="28"/>
        </w:rPr>
        <w:t xml:space="preserve"> в темное время суток. Постоянно производится замена ламп в фонарях уличного освещения на более экономичные лампы – энергосберегающие светодиодные лампы</w:t>
      </w:r>
      <w:r w:rsidR="003C0CE9">
        <w:rPr>
          <w:rFonts w:ascii="Times New Roman" w:hAnsi="Times New Roman"/>
          <w:sz w:val="28"/>
          <w:szCs w:val="28"/>
        </w:rPr>
        <w:t xml:space="preserve">. </w:t>
      </w:r>
      <w:r w:rsidR="00CF1DA6" w:rsidRPr="00C879A8">
        <w:rPr>
          <w:rFonts w:ascii="Times New Roman" w:hAnsi="Times New Roman"/>
          <w:sz w:val="28"/>
          <w:szCs w:val="28"/>
        </w:rPr>
        <w:t xml:space="preserve"> </w:t>
      </w:r>
      <w:r w:rsidR="003C0CE9">
        <w:rPr>
          <w:rFonts w:ascii="Times New Roman" w:hAnsi="Times New Roman"/>
          <w:sz w:val="28"/>
          <w:szCs w:val="28"/>
        </w:rPr>
        <w:t xml:space="preserve">На сегодняшний день заменено </w:t>
      </w:r>
      <w:r w:rsidR="00CF1DA6" w:rsidRPr="00C879A8">
        <w:rPr>
          <w:rFonts w:ascii="Times New Roman" w:hAnsi="Times New Roman"/>
          <w:sz w:val="28"/>
          <w:szCs w:val="28"/>
        </w:rPr>
        <w:t>500 штук</w:t>
      </w:r>
      <w:r w:rsidR="003C0CE9">
        <w:rPr>
          <w:rFonts w:ascii="Times New Roman" w:hAnsi="Times New Roman"/>
          <w:sz w:val="28"/>
          <w:szCs w:val="28"/>
        </w:rPr>
        <w:t xml:space="preserve"> из запланированных 2000</w:t>
      </w:r>
      <w:r w:rsidR="00CF1DA6" w:rsidRPr="00C879A8">
        <w:rPr>
          <w:rFonts w:ascii="Times New Roman" w:hAnsi="Times New Roman"/>
          <w:sz w:val="28"/>
          <w:szCs w:val="28"/>
        </w:rPr>
        <w:t>.</w:t>
      </w:r>
    </w:p>
    <w:p w:rsidR="00CF1DA6" w:rsidRPr="00C879A8" w:rsidRDefault="00CF1DA6" w:rsidP="00CF1DA6">
      <w:pPr>
        <w:pStyle w:val="10"/>
        <w:tabs>
          <w:tab w:val="left" w:pos="142"/>
          <w:tab w:val="left" w:pos="284"/>
        </w:tabs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          </w:t>
      </w:r>
      <w:r w:rsidR="003C0CE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879A8">
        <w:rPr>
          <w:rFonts w:ascii="Times New Roman" w:hAnsi="Times New Roman"/>
          <w:sz w:val="28"/>
          <w:szCs w:val="28"/>
        </w:rPr>
        <w:t>Установлены фонари уличного освещения по  ул. Победы ( на перекрестке ул. Мира и ул. Победы).</w:t>
      </w:r>
    </w:p>
    <w:p w:rsidR="00FD1336" w:rsidRPr="00FD1336" w:rsidRDefault="00CF1DA6" w:rsidP="00FD1336">
      <w:pPr>
        <w:pStyle w:val="10"/>
        <w:tabs>
          <w:tab w:val="left" w:pos="142"/>
          <w:tab w:val="left" w:pos="284"/>
        </w:tabs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879A8">
        <w:rPr>
          <w:rFonts w:ascii="Times New Roman" w:hAnsi="Times New Roman"/>
          <w:sz w:val="28"/>
          <w:szCs w:val="28"/>
        </w:rPr>
        <w:t xml:space="preserve">         </w:t>
      </w:r>
      <w:r w:rsidR="003C0CE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D1336">
        <w:rPr>
          <w:rFonts w:ascii="Times New Roman" w:hAnsi="Times New Roman"/>
          <w:sz w:val="28"/>
          <w:szCs w:val="28"/>
          <w:lang w:val="ru-RU"/>
        </w:rPr>
        <w:t>Произведено строительство линии электро</w:t>
      </w:r>
      <w:r w:rsidR="003C0CE9">
        <w:rPr>
          <w:rFonts w:ascii="Times New Roman" w:hAnsi="Times New Roman"/>
          <w:sz w:val="28"/>
          <w:szCs w:val="28"/>
          <w:lang w:val="ru-RU"/>
        </w:rPr>
        <w:t>освещения</w:t>
      </w:r>
      <w:r w:rsidR="00FD1336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FD1336" w:rsidRPr="00C879A8">
        <w:rPr>
          <w:rFonts w:ascii="Times New Roman" w:hAnsi="Times New Roman"/>
          <w:sz w:val="28"/>
          <w:szCs w:val="28"/>
        </w:rPr>
        <w:t xml:space="preserve"> ул.</w:t>
      </w:r>
      <w:r w:rsidR="00FD13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336" w:rsidRPr="00C879A8">
        <w:rPr>
          <w:rFonts w:ascii="Times New Roman" w:hAnsi="Times New Roman"/>
          <w:sz w:val="28"/>
          <w:szCs w:val="28"/>
        </w:rPr>
        <w:t xml:space="preserve">Трудовая </w:t>
      </w:r>
      <w:r w:rsidR="00FD1336">
        <w:rPr>
          <w:rFonts w:ascii="Times New Roman" w:hAnsi="Times New Roman"/>
          <w:sz w:val="28"/>
          <w:szCs w:val="28"/>
          <w:lang w:val="ru-RU"/>
        </w:rPr>
        <w:t xml:space="preserve">в районе </w:t>
      </w:r>
      <w:r w:rsidR="00FD1336" w:rsidRPr="00C879A8">
        <w:rPr>
          <w:rFonts w:ascii="Times New Roman" w:hAnsi="Times New Roman"/>
          <w:sz w:val="28"/>
          <w:szCs w:val="28"/>
        </w:rPr>
        <w:t>школы №3</w:t>
      </w:r>
      <w:r w:rsidR="00FD1336">
        <w:rPr>
          <w:rFonts w:ascii="Times New Roman" w:hAnsi="Times New Roman"/>
          <w:sz w:val="28"/>
          <w:szCs w:val="28"/>
          <w:lang w:val="ru-RU"/>
        </w:rPr>
        <w:t>, по ул. Мира от въезда в п. Саракташ до пересечения с ул. Ватутина.</w:t>
      </w:r>
    </w:p>
    <w:p w:rsidR="00CF1DA6" w:rsidRPr="003C0CE9" w:rsidRDefault="00CF1DA6" w:rsidP="003C0CE9">
      <w:pPr>
        <w:pStyle w:val="10"/>
        <w:tabs>
          <w:tab w:val="left" w:pos="142"/>
          <w:tab w:val="left" w:pos="284"/>
        </w:tabs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       </w:t>
      </w:r>
      <w:r w:rsidR="003C0CE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879A8">
        <w:rPr>
          <w:rFonts w:ascii="Times New Roman" w:hAnsi="Times New Roman"/>
          <w:sz w:val="28"/>
          <w:szCs w:val="28"/>
        </w:rPr>
        <w:t xml:space="preserve">Немаловажный вопрос занимает в благоустройстве </w:t>
      </w:r>
      <w:r w:rsidRPr="003C0CE9">
        <w:rPr>
          <w:rFonts w:ascii="Times New Roman" w:hAnsi="Times New Roman"/>
          <w:sz w:val="28"/>
          <w:szCs w:val="28"/>
        </w:rPr>
        <w:t>безопасность</w:t>
      </w:r>
      <w:r w:rsidR="003C0C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CE9">
        <w:rPr>
          <w:rFonts w:ascii="Times New Roman" w:hAnsi="Times New Roman"/>
          <w:sz w:val="28"/>
          <w:szCs w:val="28"/>
        </w:rPr>
        <w:t>дорожного движения в поселке.</w:t>
      </w:r>
    </w:p>
    <w:p w:rsidR="00CF1DA6" w:rsidRPr="00C879A8" w:rsidRDefault="00CF1DA6" w:rsidP="00CF1D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CE9">
        <w:rPr>
          <w:rFonts w:ascii="Times New Roman" w:hAnsi="Times New Roman"/>
          <w:sz w:val="28"/>
          <w:szCs w:val="28"/>
        </w:rPr>
        <w:t xml:space="preserve"> Проведен ямочный ремонт асфальтобетонного покрытия по всех автомобильных  дорог в пос. Саракташ на сумму 738 664</w:t>
      </w:r>
      <w:r w:rsidRPr="00C879A8">
        <w:rPr>
          <w:rFonts w:ascii="Times New Roman" w:hAnsi="Times New Roman"/>
          <w:sz w:val="28"/>
          <w:szCs w:val="28"/>
        </w:rPr>
        <w:t xml:space="preserve"> руб., грейдирование автомобильных дорог с гравийно-песчаным покрытием и нарезка кюветов.</w:t>
      </w:r>
    </w:p>
    <w:p w:rsidR="003C0CE9" w:rsidRDefault="00CF1DA6" w:rsidP="00CF1D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>Планируется открытие участка автомобильной дороги по ул. Комсомольская от ул. Фролова до ул. Чкалова. Для начала будет произведена отсыпка дорожного полотна.</w:t>
      </w:r>
    </w:p>
    <w:p w:rsidR="00CF1DA6" w:rsidRPr="00C879A8" w:rsidRDefault="00CF1DA6" w:rsidP="003C0C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 </w:t>
      </w:r>
      <w:r w:rsidR="003C0CE9">
        <w:rPr>
          <w:rFonts w:ascii="Times New Roman" w:hAnsi="Times New Roman"/>
          <w:sz w:val="28"/>
          <w:szCs w:val="28"/>
        </w:rPr>
        <w:t>С целью предупреждения дорожно-</w:t>
      </w:r>
      <w:r w:rsidRPr="00C879A8">
        <w:rPr>
          <w:rFonts w:ascii="Times New Roman" w:hAnsi="Times New Roman"/>
          <w:sz w:val="28"/>
          <w:szCs w:val="28"/>
        </w:rPr>
        <w:t xml:space="preserve">транспортных происшествий на  дорогах п. Саракташ </w:t>
      </w:r>
      <w:r w:rsidR="003C0CE9">
        <w:rPr>
          <w:rFonts w:ascii="Times New Roman" w:hAnsi="Times New Roman"/>
          <w:sz w:val="28"/>
          <w:szCs w:val="28"/>
        </w:rPr>
        <w:t>два раза в год</w:t>
      </w:r>
      <w:r w:rsidRPr="00C879A8">
        <w:rPr>
          <w:rFonts w:ascii="Times New Roman" w:hAnsi="Times New Roman"/>
          <w:sz w:val="28"/>
          <w:szCs w:val="28"/>
        </w:rPr>
        <w:t xml:space="preserve"> нан</w:t>
      </w:r>
      <w:r w:rsidR="003C0CE9">
        <w:rPr>
          <w:rFonts w:ascii="Times New Roman" w:hAnsi="Times New Roman"/>
          <w:sz w:val="28"/>
          <w:szCs w:val="28"/>
        </w:rPr>
        <w:t>осится</w:t>
      </w:r>
      <w:r w:rsidRPr="00C879A8">
        <w:rPr>
          <w:rFonts w:ascii="Times New Roman" w:hAnsi="Times New Roman"/>
          <w:sz w:val="28"/>
          <w:szCs w:val="28"/>
        </w:rPr>
        <w:t xml:space="preserve"> горизонтальн</w:t>
      </w:r>
      <w:r w:rsidR="003C0CE9">
        <w:rPr>
          <w:rFonts w:ascii="Times New Roman" w:hAnsi="Times New Roman"/>
          <w:sz w:val="28"/>
          <w:szCs w:val="28"/>
        </w:rPr>
        <w:t>ая</w:t>
      </w:r>
      <w:r w:rsidRPr="00C879A8">
        <w:rPr>
          <w:rFonts w:ascii="Times New Roman" w:hAnsi="Times New Roman"/>
          <w:sz w:val="28"/>
          <w:szCs w:val="28"/>
        </w:rPr>
        <w:t xml:space="preserve"> дорожн</w:t>
      </w:r>
      <w:r w:rsidR="003C0CE9">
        <w:rPr>
          <w:rFonts w:ascii="Times New Roman" w:hAnsi="Times New Roman"/>
          <w:sz w:val="28"/>
          <w:szCs w:val="28"/>
        </w:rPr>
        <w:t>ая</w:t>
      </w:r>
      <w:r w:rsidRPr="00C879A8">
        <w:rPr>
          <w:rFonts w:ascii="Times New Roman" w:hAnsi="Times New Roman"/>
          <w:sz w:val="28"/>
          <w:szCs w:val="28"/>
        </w:rPr>
        <w:t xml:space="preserve"> разметк</w:t>
      </w:r>
      <w:r w:rsidR="003C0CE9">
        <w:rPr>
          <w:rFonts w:ascii="Times New Roman" w:hAnsi="Times New Roman"/>
          <w:sz w:val="28"/>
          <w:szCs w:val="28"/>
        </w:rPr>
        <w:t>а</w:t>
      </w:r>
      <w:r w:rsidRPr="00C879A8">
        <w:rPr>
          <w:rFonts w:ascii="Times New Roman" w:hAnsi="Times New Roman"/>
          <w:sz w:val="28"/>
          <w:szCs w:val="28"/>
        </w:rPr>
        <w:t xml:space="preserve"> на дорога</w:t>
      </w:r>
      <w:r w:rsidR="003C0CE9">
        <w:rPr>
          <w:rFonts w:ascii="Times New Roman" w:hAnsi="Times New Roman"/>
          <w:sz w:val="28"/>
          <w:szCs w:val="28"/>
        </w:rPr>
        <w:t xml:space="preserve">х с асфальтобетонным покрытием </w:t>
      </w:r>
      <w:r w:rsidRPr="00C879A8">
        <w:rPr>
          <w:rFonts w:ascii="Times New Roman" w:hAnsi="Times New Roman"/>
          <w:sz w:val="28"/>
          <w:szCs w:val="28"/>
        </w:rPr>
        <w:t>и разметк</w:t>
      </w:r>
      <w:r w:rsidR="003C0CE9">
        <w:rPr>
          <w:rFonts w:ascii="Times New Roman" w:hAnsi="Times New Roman"/>
          <w:sz w:val="28"/>
          <w:szCs w:val="28"/>
        </w:rPr>
        <w:t>а</w:t>
      </w:r>
      <w:r w:rsidRPr="00C879A8">
        <w:rPr>
          <w:rFonts w:ascii="Times New Roman" w:hAnsi="Times New Roman"/>
          <w:sz w:val="28"/>
          <w:szCs w:val="28"/>
        </w:rPr>
        <w:t xml:space="preserve">  34–х пешеходных переходов. </w:t>
      </w:r>
    </w:p>
    <w:p w:rsidR="00CF1DA6" w:rsidRPr="00C879A8" w:rsidRDefault="00CF1DA6" w:rsidP="00CF1DA6">
      <w:pPr>
        <w:pStyle w:val="a3"/>
        <w:tabs>
          <w:tab w:val="clear" w:pos="4677"/>
          <w:tab w:val="left" w:pos="142"/>
          <w:tab w:val="left" w:pos="284"/>
        </w:tabs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             Выполнено:</w:t>
      </w:r>
    </w:p>
    <w:p w:rsidR="00CF1DA6" w:rsidRPr="00C879A8" w:rsidRDefault="00CF1DA6" w:rsidP="00CF1DA6">
      <w:pPr>
        <w:pStyle w:val="a3"/>
        <w:tabs>
          <w:tab w:val="clear" w:pos="4677"/>
          <w:tab w:val="left" w:pos="142"/>
          <w:tab w:val="left" w:pos="284"/>
        </w:tabs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</w:t>
      </w:r>
      <w:r w:rsidRPr="00C879A8">
        <w:rPr>
          <w:rFonts w:ascii="Times New Roman" w:eastAsia="Batang" w:hAnsi="Times New Roman"/>
          <w:bCs/>
          <w:sz w:val="28"/>
          <w:szCs w:val="28"/>
        </w:rPr>
        <w:t xml:space="preserve">           </w:t>
      </w:r>
      <w:r w:rsidRPr="00C879A8">
        <w:rPr>
          <w:rFonts w:ascii="Times New Roman" w:hAnsi="Times New Roman"/>
          <w:bCs/>
          <w:noProof/>
          <w:sz w:val="28"/>
          <w:szCs w:val="28"/>
        </w:rPr>
        <w:t>работы по ремонту  тротуара по пер. Заводскому (от ул. Комсомольская  до ул.Элеваторная) – 1 0</w:t>
      </w:r>
      <w:r w:rsidR="00F67633">
        <w:rPr>
          <w:rFonts w:ascii="Times New Roman" w:hAnsi="Times New Roman"/>
          <w:bCs/>
          <w:noProof/>
          <w:sz w:val="28"/>
          <w:szCs w:val="28"/>
          <w:lang w:val="ru-RU"/>
        </w:rPr>
        <w:t>49</w:t>
      </w:r>
      <w:r w:rsidR="00F67633">
        <w:rPr>
          <w:rFonts w:ascii="Times New Roman" w:hAnsi="Times New Roman"/>
          <w:bCs/>
          <w:noProof/>
          <w:sz w:val="28"/>
          <w:szCs w:val="28"/>
        </w:rPr>
        <w:t> </w:t>
      </w:r>
      <w:r w:rsidR="00F67633">
        <w:rPr>
          <w:rFonts w:ascii="Times New Roman" w:hAnsi="Times New Roman"/>
          <w:bCs/>
          <w:noProof/>
          <w:sz w:val="28"/>
          <w:szCs w:val="28"/>
          <w:lang w:val="ru-RU"/>
        </w:rPr>
        <w:t>578,2</w:t>
      </w:r>
      <w:r w:rsidRPr="00C879A8">
        <w:rPr>
          <w:rFonts w:ascii="Times New Roman" w:hAnsi="Times New Roman"/>
          <w:bCs/>
          <w:noProof/>
          <w:sz w:val="28"/>
          <w:szCs w:val="28"/>
        </w:rPr>
        <w:t xml:space="preserve"> руб.</w:t>
      </w:r>
    </w:p>
    <w:p w:rsidR="00CF1DA6" w:rsidRPr="00C879A8" w:rsidRDefault="00CF1DA6" w:rsidP="00CF1DA6">
      <w:pPr>
        <w:pStyle w:val="a3"/>
        <w:tabs>
          <w:tab w:val="clear" w:pos="4677"/>
          <w:tab w:val="left" w:pos="142"/>
          <w:tab w:val="left" w:pos="284"/>
        </w:tabs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              ремонт асфальтобетонного покрытия дорог:</w:t>
      </w:r>
    </w:p>
    <w:p w:rsidR="00CF1DA6" w:rsidRPr="00C879A8" w:rsidRDefault="00FD1336" w:rsidP="00CF1DA6">
      <w:pPr>
        <w:pStyle w:val="1"/>
      </w:pPr>
      <w:r>
        <w:t xml:space="preserve">  </w:t>
      </w:r>
      <w:r w:rsidR="00CF1DA6" w:rsidRPr="00C879A8">
        <w:t xml:space="preserve"> - ул.</w:t>
      </w:r>
      <w:r w:rsidR="003C0CE9">
        <w:t xml:space="preserve"> </w:t>
      </w:r>
      <w:r w:rsidR="00CF1DA6" w:rsidRPr="00C879A8">
        <w:t>Мира (от ул.</w:t>
      </w:r>
      <w:r w:rsidR="003C0CE9">
        <w:t xml:space="preserve"> </w:t>
      </w:r>
      <w:r w:rsidR="00CF1DA6" w:rsidRPr="00C879A8">
        <w:t>Ленина до ул.</w:t>
      </w:r>
      <w:r w:rsidR="003C0CE9">
        <w:t xml:space="preserve"> </w:t>
      </w:r>
      <w:r w:rsidR="00CF1DA6" w:rsidRPr="00C879A8">
        <w:t xml:space="preserve">Чкалова) – </w:t>
      </w:r>
      <w:r w:rsidR="00CF1DA6" w:rsidRPr="00C879A8">
        <w:rPr>
          <w:bCs/>
          <w:noProof/>
        </w:rPr>
        <w:t xml:space="preserve">4 159 343 </w:t>
      </w:r>
      <w:r w:rsidR="00CF1DA6" w:rsidRPr="00C879A8">
        <w:t xml:space="preserve">руб., </w:t>
      </w:r>
      <w:r w:rsidR="003C0CE9">
        <w:t>(от ул. Чкалова до ул. Промышленная)</w:t>
      </w:r>
      <w:r w:rsidR="00CF1DA6" w:rsidRPr="00C879A8">
        <w:t>- на сумму 4</w:t>
      </w:r>
      <w:r w:rsidR="00F67633">
        <w:t xml:space="preserve"> 662 969,64 </w:t>
      </w:r>
      <w:r w:rsidR="00CF1DA6" w:rsidRPr="00C879A8">
        <w:t>руб.</w:t>
      </w:r>
    </w:p>
    <w:p w:rsidR="00CF1DA6" w:rsidRPr="00C879A8" w:rsidRDefault="00CF1DA6" w:rsidP="00CF1DA6">
      <w:pPr>
        <w:pStyle w:val="1"/>
      </w:pPr>
      <w:r w:rsidRPr="00C879A8">
        <w:t xml:space="preserve"> </w:t>
      </w:r>
      <w:r w:rsidR="00FD1336">
        <w:t xml:space="preserve">  </w:t>
      </w:r>
      <w:r w:rsidRPr="00C879A8">
        <w:t xml:space="preserve">- ул. Пушкина (от ул. Колхозная до ул. Маяковская) – 2 772 714 руб. </w:t>
      </w:r>
    </w:p>
    <w:p w:rsidR="00CF1DA6" w:rsidRDefault="00FD1336" w:rsidP="00CF1DA6">
      <w:pPr>
        <w:pStyle w:val="1"/>
      </w:pPr>
      <w:r>
        <w:t xml:space="preserve">   </w:t>
      </w:r>
      <w:r w:rsidR="00CF1DA6" w:rsidRPr="00C879A8">
        <w:t>-  ул. Производственная – 2 812</w:t>
      </w:r>
      <w:r w:rsidR="00F67633">
        <w:t> </w:t>
      </w:r>
      <w:r w:rsidR="00CF1DA6" w:rsidRPr="00C879A8">
        <w:t>009</w:t>
      </w:r>
      <w:r w:rsidR="00F67633">
        <w:t>,2</w:t>
      </w:r>
      <w:r w:rsidR="00CF1DA6" w:rsidRPr="00C879A8">
        <w:t xml:space="preserve"> руб.</w:t>
      </w:r>
    </w:p>
    <w:p w:rsidR="00FD1336" w:rsidRPr="00C879A8" w:rsidRDefault="00FD1336" w:rsidP="00CF1DA6">
      <w:pPr>
        <w:pStyle w:val="1"/>
      </w:pPr>
    </w:p>
    <w:p w:rsidR="00CF1DA6" w:rsidRPr="00C879A8" w:rsidRDefault="00FD1336" w:rsidP="00CF1DA6">
      <w:pPr>
        <w:pStyle w:val="1"/>
      </w:pPr>
      <w:r>
        <w:t xml:space="preserve">   - </w:t>
      </w:r>
      <w:r w:rsidR="00CF1DA6" w:rsidRPr="00C879A8">
        <w:t>отсыпка автодороги  в Южном микрорайоне, возле плодопитомника.</w:t>
      </w:r>
    </w:p>
    <w:p w:rsidR="00CF1DA6" w:rsidRPr="00C879A8" w:rsidRDefault="00CF1DA6" w:rsidP="00CF1DA6">
      <w:pPr>
        <w:pStyle w:val="1"/>
      </w:pPr>
    </w:p>
    <w:p w:rsidR="00CF1DA6" w:rsidRPr="00C879A8" w:rsidRDefault="00CF1DA6" w:rsidP="00CF1DA6">
      <w:pPr>
        <w:pStyle w:val="1"/>
      </w:pPr>
      <w:r w:rsidRPr="00C879A8">
        <w:t xml:space="preserve">      Произвели отсыпку автомобильной стоянки по ул.</w:t>
      </w:r>
      <w:r w:rsidR="00F67633">
        <w:t xml:space="preserve"> </w:t>
      </w:r>
      <w:r w:rsidRPr="00C879A8">
        <w:t>Ватутина, по ул.Чапаева возле детского сада №10</w:t>
      </w:r>
      <w:r w:rsidR="003C0CE9">
        <w:t>, стоянки возле ЦРБ.</w:t>
      </w:r>
    </w:p>
    <w:p w:rsidR="00CF1DA6" w:rsidRPr="00C879A8" w:rsidRDefault="00CF1DA6" w:rsidP="00CF1DA6">
      <w:pPr>
        <w:pStyle w:val="1"/>
      </w:pPr>
      <w:r w:rsidRPr="00C879A8">
        <w:t xml:space="preserve">        Отсыпано примыкание к главной дороге по ул.</w:t>
      </w:r>
      <w:r w:rsidR="00F67633">
        <w:t xml:space="preserve"> </w:t>
      </w:r>
      <w:r w:rsidRPr="00C879A8">
        <w:t>Сверстников.</w:t>
      </w:r>
    </w:p>
    <w:p w:rsidR="00CF1DA6" w:rsidRPr="00C879A8" w:rsidRDefault="00CF1DA6" w:rsidP="00CF1DA6">
      <w:pPr>
        <w:pStyle w:val="1"/>
        <w:rPr>
          <w:szCs w:val="32"/>
        </w:rPr>
      </w:pPr>
      <w:r w:rsidRPr="00C879A8">
        <w:t xml:space="preserve">        Произведена отсыпка дорожного полотна и нарезка кюветов</w:t>
      </w:r>
      <w:r w:rsidRPr="009C568A">
        <w:rPr>
          <w:sz w:val="32"/>
          <w:szCs w:val="32"/>
        </w:rPr>
        <w:t xml:space="preserve"> по улицам </w:t>
      </w:r>
      <w:r w:rsidRPr="00C879A8">
        <w:rPr>
          <w:szCs w:val="32"/>
        </w:rPr>
        <w:t>Кобозева, Широкой, Братской, Чумакова</w:t>
      </w:r>
      <w:r w:rsidR="00FD1336">
        <w:rPr>
          <w:szCs w:val="32"/>
        </w:rPr>
        <w:t>, Самолетная, Полигонная</w:t>
      </w:r>
      <w:r w:rsidRPr="00C879A8">
        <w:rPr>
          <w:szCs w:val="32"/>
        </w:rPr>
        <w:t>.</w:t>
      </w:r>
    </w:p>
    <w:p w:rsidR="00C879A8" w:rsidRDefault="00C879A8" w:rsidP="00C879A8">
      <w:pPr>
        <w:spacing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2419" w:rsidRPr="009B2419" w:rsidRDefault="009B2419" w:rsidP="00C879A8">
      <w:pPr>
        <w:spacing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2419">
        <w:rPr>
          <w:rFonts w:ascii="Times New Roman" w:hAnsi="Times New Roman"/>
          <w:b/>
          <w:color w:val="000000"/>
          <w:sz w:val="28"/>
          <w:szCs w:val="28"/>
        </w:rPr>
        <w:t>РЫНОК ТОВАРОВ И УСЛУГ</w:t>
      </w:r>
    </w:p>
    <w:p w:rsidR="009B2419" w:rsidRPr="009B2419" w:rsidRDefault="009B2419" w:rsidP="00C16C4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>На протяжении последних десяти лет торговля была одной из наиболее динамично развивающихся отраслей экономики поселка. В перспективе доля продажи на рынках будет  иметь тенденцию к снижению, т.е. торговля будет постепенно становиться более организованной и цивилизованной.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Основные задачи – это создание благоприятных условий для развития торговли, удовлетворение потребностей населения в качественных товарах и услугах. </w:t>
      </w:r>
    </w:p>
    <w:p w:rsidR="009B2419" w:rsidRPr="009B2419" w:rsidRDefault="009B2419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>Отмечаем, что в поселке развита сеть предприятий торговли, что  позволяет обеспечивать потребность населения в товарах.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В структуре розничной торговли наибольшая активность сохраняется в деятельности сетевых компаний. На сегодняшний день работают сетевые магазины со смешанным ассортиментом товаров -  Магнит (4 точки),  Пятёрочка (2 точки),  по торговле алкогольной продукцией - Красное и Белое,  Совин, бытовой техники – Эксперт и Позитроника, по торговле промышленными товарами – Арзан, по торговле сотовыми телефонами – Евросеть, Билайн, Мегафон, МТС,  по торговле лекарственными препаратами – Оренлек, Имплозия и др.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Продолжается строительство новых магазинов, отвечающих современным требованиям, имеющих новое технологическое оборудование.        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В объёме предлагаемых на рынке товарных ресурсов повышается роль местных товаропроизводителей: ПК «Саракташский консервный завод», ООО «Хлебопродукт – 3», ООО «Герет-Агро», цех по производству хлебобулочных и кондитерских изделий ПО «Саракташское», сеть магазинов «Свежая выпечка», цех хлебобулочных изделий ООО «Саракташский элеватор» и др. Продукция этих предприятий отличается хорошими вкусовыми качествами, доступна широкому кругу населения и составляет достойную конкуренцию производителям из других регионов. Их доля составляет около 25%.</w:t>
      </w:r>
    </w:p>
    <w:p w:rsidR="009B2419" w:rsidRPr="009B2419" w:rsidRDefault="009B2419" w:rsidP="00C16C4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Более разнообразными становятся формы торгового обслуживания. Появилась возможность приобретать товары по </w:t>
      </w:r>
      <w:r w:rsidR="003C0CE9">
        <w:rPr>
          <w:rFonts w:ascii="Times New Roman" w:hAnsi="Times New Roman"/>
          <w:sz w:val="28"/>
          <w:szCs w:val="28"/>
        </w:rPr>
        <w:t>безналичным платежам</w:t>
      </w:r>
      <w:r w:rsidRPr="009B2419">
        <w:rPr>
          <w:rFonts w:ascii="Times New Roman" w:hAnsi="Times New Roman"/>
          <w:sz w:val="28"/>
          <w:szCs w:val="28"/>
        </w:rPr>
        <w:t xml:space="preserve"> в ряде магазинов п. Саракташ. </w:t>
      </w:r>
    </w:p>
    <w:p w:rsidR="009B2419" w:rsidRPr="009B2419" w:rsidRDefault="009B2419" w:rsidP="00C16C4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>Современный потребительский рынок достаточно насыщен разнообразными продовольственными и непродовольственными товарами. Товарного дефицита в поселке практически нет.</w:t>
      </w:r>
    </w:p>
    <w:p w:rsidR="009B2419" w:rsidRPr="009B2419" w:rsidRDefault="009B2419" w:rsidP="00C16C4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lastRenderedPageBreak/>
        <w:t xml:space="preserve">В поселке функционирует 1 сельскохозяйственный рынок ПО «Коопзаготпромторг», площадью 5,2 тыс.кв. м. на 375 торговых мест, из них   190 мест выделено гражданам, ведущим фермерские и личные подсобные хозяйства, занимающиеся садоводством, огородничеством и животноводством. </w:t>
      </w:r>
    </w:p>
    <w:p w:rsidR="009B2419" w:rsidRPr="009B2419" w:rsidRDefault="009B2419" w:rsidP="00C16C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По мере роста доходов населения и восстановления потребительского кредитования в 2019 – 2024</w:t>
      </w:r>
      <w:r w:rsidRPr="009B2419">
        <w:rPr>
          <w:rFonts w:ascii="Times New Roman" w:hAnsi="Times New Roman"/>
          <w:sz w:val="28"/>
          <w:szCs w:val="28"/>
          <w:lang w:val="en-US"/>
        </w:rPr>
        <w:t> </w:t>
      </w:r>
      <w:r w:rsidRPr="009B2419">
        <w:rPr>
          <w:rFonts w:ascii="Times New Roman" w:hAnsi="Times New Roman"/>
          <w:sz w:val="28"/>
          <w:szCs w:val="28"/>
        </w:rPr>
        <w:t>гг. динамика потребления населения будет восстанавливаться. Прогнозируется расширение сети торговли и общественного питания, обновление ее структуры, внедрение более совершенных, прогрессивных форм и методов продажи товаров и услуг.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  В 2019–2024 годах повышение покупательной способности населения, обусловленное ростом реальных располагаемых денежных доходов, будет способствовать увеличению оборота розничной торговли.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</w:t>
      </w:r>
      <w:r w:rsidR="0035396D">
        <w:rPr>
          <w:rFonts w:ascii="Times New Roman" w:hAnsi="Times New Roman"/>
          <w:sz w:val="28"/>
          <w:szCs w:val="28"/>
        </w:rPr>
        <w:t>О</w:t>
      </w:r>
      <w:r w:rsidRPr="009B2419">
        <w:rPr>
          <w:rFonts w:ascii="Times New Roman" w:hAnsi="Times New Roman"/>
          <w:sz w:val="28"/>
          <w:szCs w:val="28"/>
        </w:rPr>
        <w:t>сновные задачи, которые стоят перед органами власти – это создание благоприятных условий для развития торговли, удовлетворение потребностей населения в качественных товарах и услугах, поддержка местных товаропроизводителей с целью повышения конкурентноспособности, обеспечения качества и безопасности пищевых продуктов на потребительском рынке.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В структуре платных услуг наибольший удельный вес занимают жилищно-коммунальные услуги, транспортные, связи, бытовые. Традиционно лидерство в структуре объёма бытовых услуг сохраняется за услугами по ремонту и строительству  жилья,  по ремонту и техническому обслуживанию автотранспортных средств, грузоперевозкам, фотоуслугам и услугам парикмахерских</w:t>
      </w:r>
    </w:p>
    <w:p w:rsidR="003E5FE9" w:rsidRDefault="003E5FE9" w:rsidP="00C16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419" w:rsidRPr="009B2419" w:rsidRDefault="009B2419" w:rsidP="00C16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19">
        <w:rPr>
          <w:rFonts w:ascii="Times New Roman" w:hAnsi="Times New Roman"/>
          <w:b/>
          <w:sz w:val="28"/>
          <w:szCs w:val="28"/>
        </w:rPr>
        <w:t>ФИНАНСЫ</w:t>
      </w:r>
    </w:p>
    <w:p w:rsidR="009B2419" w:rsidRPr="009B2419" w:rsidRDefault="009B2419" w:rsidP="00C16C4C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В текущем году в экономике поссовета сохраняется высокий уровень задолженности. Кредиторская задолженность на 01.1</w:t>
      </w:r>
      <w:r w:rsidR="0035396D">
        <w:rPr>
          <w:rFonts w:ascii="Times New Roman" w:hAnsi="Times New Roman"/>
          <w:sz w:val="28"/>
          <w:szCs w:val="28"/>
        </w:rPr>
        <w:t>0</w:t>
      </w:r>
      <w:r w:rsidRPr="009B2419">
        <w:rPr>
          <w:rFonts w:ascii="Times New Roman" w:hAnsi="Times New Roman"/>
          <w:sz w:val="28"/>
          <w:szCs w:val="28"/>
        </w:rPr>
        <w:t>.201</w:t>
      </w:r>
      <w:r w:rsidR="0035396D">
        <w:rPr>
          <w:rFonts w:ascii="Times New Roman" w:hAnsi="Times New Roman"/>
          <w:sz w:val="28"/>
          <w:szCs w:val="28"/>
        </w:rPr>
        <w:t>9</w:t>
      </w:r>
      <w:r w:rsidRPr="009B2419">
        <w:rPr>
          <w:rFonts w:ascii="Times New Roman" w:hAnsi="Times New Roman"/>
          <w:sz w:val="28"/>
          <w:szCs w:val="28"/>
        </w:rPr>
        <w:t xml:space="preserve"> года составляет </w:t>
      </w:r>
      <w:r w:rsidR="0035396D">
        <w:rPr>
          <w:rFonts w:ascii="Times New Roman" w:hAnsi="Times New Roman"/>
          <w:sz w:val="28"/>
          <w:szCs w:val="28"/>
        </w:rPr>
        <w:t>4537</w:t>
      </w:r>
      <w:r w:rsidRPr="009B2419">
        <w:rPr>
          <w:rFonts w:ascii="Times New Roman" w:hAnsi="Times New Roman"/>
          <w:sz w:val="28"/>
          <w:szCs w:val="28"/>
        </w:rPr>
        <w:t>,</w:t>
      </w:r>
      <w:r w:rsidR="0035396D">
        <w:rPr>
          <w:rFonts w:ascii="Times New Roman" w:hAnsi="Times New Roman"/>
          <w:sz w:val="28"/>
          <w:szCs w:val="28"/>
        </w:rPr>
        <w:t>9</w:t>
      </w:r>
      <w:r w:rsidRPr="009B2419">
        <w:rPr>
          <w:rFonts w:ascii="Times New Roman" w:hAnsi="Times New Roman"/>
          <w:sz w:val="28"/>
          <w:szCs w:val="28"/>
        </w:rPr>
        <w:t xml:space="preserve"> тыс. руб. Всего за январь-октябрь в бюджет поселка поступило </w:t>
      </w:r>
      <w:r w:rsidR="0035396D">
        <w:rPr>
          <w:rFonts w:ascii="Times New Roman" w:hAnsi="Times New Roman"/>
          <w:sz w:val="28"/>
          <w:szCs w:val="28"/>
        </w:rPr>
        <w:t>77 </w:t>
      </w:r>
      <w:r w:rsidR="00AE6D11">
        <w:rPr>
          <w:rFonts w:ascii="Times New Roman" w:hAnsi="Times New Roman"/>
          <w:sz w:val="28"/>
          <w:szCs w:val="28"/>
        </w:rPr>
        <w:t xml:space="preserve">млн. </w:t>
      </w:r>
      <w:r w:rsidR="0035396D">
        <w:rPr>
          <w:rFonts w:ascii="Times New Roman" w:hAnsi="Times New Roman"/>
          <w:sz w:val="28"/>
          <w:szCs w:val="28"/>
        </w:rPr>
        <w:t>734,4 тыс.</w:t>
      </w:r>
      <w:r w:rsidRPr="009B2419">
        <w:rPr>
          <w:rFonts w:ascii="Times New Roman" w:hAnsi="Times New Roman"/>
          <w:sz w:val="28"/>
          <w:szCs w:val="28"/>
        </w:rPr>
        <w:t xml:space="preserve"> руб., из них 3</w:t>
      </w:r>
      <w:r w:rsidR="0035396D">
        <w:rPr>
          <w:rFonts w:ascii="Times New Roman" w:hAnsi="Times New Roman"/>
          <w:sz w:val="28"/>
          <w:szCs w:val="28"/>
        </w:rPr>
        <w:t>6</w:t>
      </w:r>
      <w:r w:rsidR="00AE6D11" w:rsidRPr="00AE6D11">
        <w:rPr>
          <w:rFonts w:ascii="Times New Roman" w:hAnsi="Times New Roman"/>
          <w:sz w:val="28"/>
          <w:szCs w:val="28"/>
        </w:rPr>
        <w:t xml:space="preserve"> </w:t>
      </w:r>
      <w:r w:rsidR="00AE6D11">
        <w:rPr>
          <w:rFonts w:ascii="Times New Roman" w:hAnsi="Times New Roman"/>
          <w:sz w:val="28"/>
          <w:szCs w:val="28"/>
        </w:rPr>
        <w:t>млн.</w:t>
      </w:r>
      <w:r w:rsidR="0035396D">
        <w:rPr>
          <w:rFonts w:ascii="Times New Roman" w:hAnsi="Times New Roman"/>
          <w:sz w:val="28"/>
          <w:szCs w:val="28"/>
        </w:rPr>
        <w:t xml:space="preserve"> 727,7 тыс. </w:t>
      </w:r>
      <w:r w:rsidRPr="009B2419">
        <w:rPr>
          <w:rFonts w:ascii="Times New Roman" w:hAnsi="Times New Roman"/>
          <w:sz w:val="28"/>
          <w:szCs w:val="28"/>
        </w:rPr>
        <w:t xml:space="preserve">руб. – налоговые и неналоговые доходы, что составляет </w:t>
      </w:r>
      <w:r w:rsidR="0035396D">
        <w:rPr>
          <w:rFonts w:ascii="Times New Roman" w:hAnsi="Times New Roman"/>
          <w:sz w:val="28"/>
          <w:szCs w:val="28"/>
        </w:rPr>
        <w:t xml:space="preserve">47,2 </w:t>
      </w:r>
      <w:r w:rsidRPr="009B2419">
        <w:rPr>
          <w:rFonts w:ascii="Times New Roman" w:hAnsi="Times New Roman"/>
          <w:sz w:val="28"/>
          <w:szCs w:val="28"/>
        </w:rPr>
        <w:t xml:space="preserve">% от общего объёма доходов. Расходы бюджета составили </w:t>
      </w:r>
      <w:r w:rsidR="0035396D">
        <w:rPr>
          <w:rFonts w:ascii="Times New Roman" w:hAnsi="Times New Roman"/>
          <w:sz w:val="28"/>
          <w:szCs w:val="28"/>
        </w:rPr>
        <w:t>73 </w:t>
      </w:r>
      <w:r w:rsidR="00AE6D11">
        <w:rPr>
          <w:rFonts w:ascii="Times New Roman" w:hAnsi="Times New Roman"/>
          <w:sz w:val="28"/>
          <w:szCs w:val="28"/>
        </w:rPr>
        <w:t xml:space="preserve">млн. </w:t>
      </w:r>
      <w:r w:rsidR="0035396D">
        <w:rPr>
          <w:rFonts w:ascii="Times New Roman" w:hAnsi="Times New Roman"/>
          <w:sz w:val="28"/>
          <w:szCs w:val="28"/>
        </w:rPr>
        <w:t>103,4 тыс.</w:t>
      </w:r>
      <w:r w:rsidRPr="009B2419">
        <w:rPr>
          <w:rFonts w:ascii="Times New Roman" w:hAnsi="Times New Roman"/>
          <w:sz w:val="28"/>
          <w:szCs w:val="28"/>
        </w:rPr>
        <w:t xml:space="preserve"> руб.</w:t>
      </w:r>
    </w:p>
    <w:p w:rsidR="009B2419" w:rsidRPr="009B2419" w:rsidRDefault="009B2419" w:rsidP="00C16C4C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color w:val="000000"/>
          <w:sz w:val="28"/>
          <w:szCs w:val="28"/>
        </w:rPr>
        <w:t xml:space="preserve">           Повышение доходов в 2019-2024 году может быть достигнуто, как в результате увеличения производства продукции во всех отраслях, так и в результате улучшения собираемости налогов.</w:t>
      </w:r>
      <w:r w:rsidRPr="009B2419">
        <w:rPr>
          <w:rFonts w:ascii="Times New Roman" w:hAnsi="Times New Roman"/>
          <w:sz w:val="28"/>
          <w:szCs w:val="28"/>
        </w:rPr>
        <w:t xml:space="preserve"> В основу финансового баланса МО Саракташский поссовет положены показатели социально – экономического развития территории за 201</w:t>
      </w:r>
      <w:r w:rsidR="0035396D">
        <w:rPr>
          <w:rFonts w:ascii="Times New Roman" w:hAnsi="Times New Roman"/>
          <w:sz w:val="28"/>
          <w:szCs w:val="28"/>
        </w:rPr>
        <w:t>7</w:t>
      </w:r>
      <w:r w:rsidRPr="009B2419">
        <w:rPr>
          <w:rFonts w:ascii="Times New Roman" w:hAnsi="Times New Roman"/>
          <w:sz w:val="28"/>
          <w:szCs w:val="28"/>
        </w:rPr>
        <w:t xml:space="preserve"> – 201</w:t>
      </w:r>
      <w:r w:rsidR="0035396D">
        <w:rPr>
          <w:rFonts w:ascii="Times New Roman" w:hAnsi="Times New Roman"/>
          <w:sz w:val="28"/>
          <w:szCs w:val="28"/>
        </w:rPr>
        <w:t>8</w:t>
      </w:r>
      <w:r w:rsidRPr="009B2419">
        <w:rPr>
          <w:rFonts w:ascii="Times New Roman" w:hAnsi="Times New Roman"/>
          <w:sz w:val="28"/>
          <w:szCs w:val="28"/>
        </w:rPr>
        <w:t>г.г., ожидаемая оценка 201</w:t>
      </w:r>
      <w:r w:rsidR="0035396D">
        <w:rPr>
          <w:rFonts w:ascii="Times New Roman" w:hAnsi="Times New Roman"/>
          <w:sz w:val="28"/>
          <w:szCs w:val="28"/>
        </w:rPr>
        <w:t>9</w:t>
      </w:r>
      <w:r w:rsidRPr="009B2419">
        <w:rPr>
          <w:rFonts w:ascii="Times New Roman" w:hAnsi="Times New Roman"/>
          <w:sz w:val="28"/>
          <w:szCs w:val="28"/>
        </w:rPr>
        <w:t xml:space="preserve"> года и прогноз на 20</w:t>
      </w:r>
      <w:r w:rsidR="0035396D">
        <w:rPr>
          <w:rFonts w:ascii="Times New Roman" w:hAnsi="Times New Roman"/>
          <w:sz w:val="28"/>
          <w:szCs w:val="28"/>
        </w:rPr>
        <w:t>20</w:t>
      </w:r>
      <w:r w:rsidRPr="009B2419">
        <w:rPr>
          <w:rFonts w:ascii="Times New Roman" w:hAnsi="Times New Roman"/>
          <w:sz w:val="28"/>
          <w:szCs w:val="28"/>
        </w:rPr>
        <w:t xml:space="preserve"> – 2024 гг.</w:t>
      </w:r>
    </w:p>
    <w:p w:rsidR="009B2419" w:rsidRPr="009B2419" w:rsidRDefault="009B2419" w:rsidP="0051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646"/>
        <w:gridCol w:w="3520"/>
      </w:tblGrid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24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2730" w:type="dxa"/>
          </w:tcPr>
          <w:p w:rsidR="009B2419" w:rsidRPr="009B2419" w:rsidRDefault="009B2419" w:rsidP="0035396D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2419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5396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B241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650" w:type="dxa"/>
          </w:tcPr>
          <w:p w:rsidR="009B2419" w:rsidRPr="009B2419" w:rsidRDefault="009B2419" w:rsidP="0035396D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2419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5396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B241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273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65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273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  <w:tc>
          <w:tcPr>
            <w:tcW w:w="365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 xml:space="preserve">Единый сельскохозяйственный </w:t>
            </w:r>
          </w:p>
        </w:tc>
        <w:tc>
          <w:tcPr>
            <w:tcW w:w="273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365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73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65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73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65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B2419" w:rsidRPr="009B2419" w:rsidTr="00B53733">
        <w:tc>
          <w:tcPr>
            <w:tcW w:w="3190" w:type="dxa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6380" w:type="dxa"/>
            <w:gridSpan w:val="2"/>
          </w:tcPr>
          <w:p w:rsidR="009B2419" w:rsidRPr="009B2419" w:rsidRDefault="009B2419" w:rsidP="00C16C4C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19">
              <w:rPr>
                <w:rFonts w:ascii="Times New Roman" w:hAnsi="Times New Roman"/>
                <w:sz w:val="28"/>
                <w:szCs w:val="28"/>
              </w:rPr>
              <w:t>Расчет по коэффициенту</w:t>
            </w:r>
          </w:p>
        </w:tc>
      </w:tr>
    </w:tbl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Доходная часть формируется за счет налоговых и неналоговых платежей и сборов в бюджет, средств государственных внебюджетных сборов, средств предприятий и организаций.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 В структуре бюджета муниципального образования по-прежнему наибольший удельный вес занимает налог на доходы физических лиц. В 201</w:t>
      </w:r>
      <w:r w:rsidR="0035396D">
        <w:rPr>
          <w:rFonts w:ascii="Times New Roman" w:hAnsi="Times New Roman"/>
          <w:sz w:val="28"/>
          <w:szCs w:val="28"/>
        </w:rPr>
        <w:t>9</w:t>
      </w:r>
      <w:r w:rsidRPr="009B2419">
        <w:rPr>
          <w:rFonts w:ascii="Times New Roman" w:hAnsi="Times New Roman"/>
          <w:sz w:val="28"/>
          <w:szCs w:val="28"/>
        </w:rPr>
        <w:t xml:space="preserve"> году предусматриваются ожидаемые поступления налога в сумме </w:t>
      </w:r>
      <w:r w:rsidR="0035396D">
        <w:rPr>
          <w:rFonts w:ascii="Times New Roman" w:hAnsi="Times New Roman"/>
          <w:sz w:val="28"/>
          <w:szCs w:val="28"/>
        </w:rPr>
        <w:t xml:space="preserve">22 </w:t>
      </w:r>
      <w:r w:rsidR="00AE6D11">
        <w:rPr>
          <w:rFonts w:ascii="Times New Roman" w:hAnsi="Times New Roman"/>
          <w:sz w:val="28"/>
          <w:szCs w:val="28"/>
        </w:rPr>
        <w:t>млн. 390</w:t>
      </w:r>
      <w:r w:rsidRPr="009B2419">
        <w:rPr>
          <w:rFonts w:ascii="Times New Roman" w:hAnsi="Times New Roman"/>
          <w:sz w:val="28"/>
          <w:szCs w:val="28"/>
        </w:rPr>
        <w:t>,0 тыс. руб., земельный налог – 1</w:t>
      </w:r>
      <w:r w:rsidR="0035396D">
        <w:rPr>
          <w:rFonts w:ascii="Times New Roman" w:hAnsi="Times New Roman"/>
          <w:sz w:val="28"/>
          <w:szCs w:val="28"/>
        </w:rPr>
        <w:t>0</w:t>
      </w:r>
      <w:r w:rsidRPr="009B2419">
        <w:rPr>
          <w:rFonts w:ascii="Times New Roman" w:hAnsi="Times New Roman"/>
          <w:sz w:val="28"/>
          <w:szCs w:val="28"/>
        </w:rPr>
        <w:t xml:space="preserve"> </w:t>
      </w:r>
      <w:r w:rsidR="00AE6D11">
        <w:rPr>
          <w:rFonts w:ascii="Times New Roman" w:hAnsi="Times New Roman"/>
          <w:sz w:val="28"/>
          <w:szCs w:val="28"/>
        </w:rPr>
        <w:t>млн. 122</w:t>
      </w:r>
      <w:r w:rsidRPr="009B2419">
        <w:rPr>
          <w:rFonts w:ascii="Times New Roman" w:hAnsi="Times New Roman"/>
          <w:sz w:val="28"/>
          <w:szCs w:val="28"/>
        </w:rPr>
        <w:t xml:space="preserve">,0 тыс.руб. 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Наблюдается увеличение поступлений по налогу на имущество физических лиц  в связи с уточнением налогооблагаемой базы, путем проведения инвентаризации и регистрации гражданами объектов недвижимости в органах юстиции.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Ожидаемое поступление единого сельскохозяйственного налога в бюджет предусмотрено в 201</w:t>
      </w:r>
      <w:r w:rsidR="0035396D">
        <w:rPr>
          <w:rFonts w:ascii="Times New Roman" w:hAnsi="Times New Roman"/>
          <w:sz w:val="28"/>
          <w:szCs w:val="28"/>
        </w:rPr>
        <w:t>9</w:t>
      </w:r>
      <w:r w:rsidRPr="009B2419">
        <w:rPr>
          <w:rFonts w:ascii="Times New Roman" w:hAnsi="Times New Roman"/>
          <w:sz w:val="28"/>
          <w:szCs w:val="28"/>
        </w:rPr>
        <w:t xml:space="preserve"> году в сумме </w:t>
      </w:r>
      <w:r w:rsidR="0035396D">
        <w:rPr>
          <w:rFonts w:ascii="Times New Roman" w:hAnsi="Times New Roman"/>
          <w:sz w:val="28"/>
          <w:szCs w:val="28"/>
        </w:rPr>
        <w:t>34</w:t>
      </w:r>
      <w:r w:rsidR="00AE6D11">
        <w:rPr>
          <w:rFonts w:ascii="Times New Roman" w:hAnsi="Times New Roman"/>
          <w:sz w:val="28"/>
          <w:szCs w:val="28"/>
        </w:rPr>
        <w:t>5</w:t>
      </w:r>
      <w:r w:rsidRPr="009B2419">
        <w:rPr>
          <w:rFonts w:ascii="Times New Roman" w:hAnsi="Times New Roman"/>
          <w:sz w:val="28"/>
          <w:szCs w:val="28"/>
        </w:rPr>
        <w:t xml:space="preserve">,0 тыс. руб. 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Средства, получаемые с областного</w:t>
      </w:r>
      <w:r w:rsidR="00AE6D11">
        <w:rPr>
          <w:rFonts w:ascii="Times New Roman" w:hAnsi="Times New Roman"/>
          <w:sz w:val="28"/>
          <w:szCs w:val="28"/>
        </w:rPr>
        <w:t xml:space="preserve"> (50 млн. 551 тыс. рублей)</w:t>
      </w:r>
      <w:r w:rsidRPr="009B2419">
        <w:rPr>
          <w:rFonts w:ascii="Times New Roman" w:hAnsi="Times New Roman"/>
          <w:sz w:val="28"/>
          <w:szCs w:val="28"/>
        </w:rPr>
        <w:t xml:space="preserve"> и районного </w:t>
      </w:r>
      <w:r w:rsidR="00AE6D11">
        <w:rPr>
          <w:rFonts w:ascii="Times New Roman" w:hAnsi="Times New Roman"/>
          <w:sz w:val="28"/>
          <w:szCs w:val="28"/>
        </w:rPr>
        <w:t>(26</w:t>
      </w:r>
      <w:r w:rsidR="00AE6D11" w:rsidRPr="00AE6D11">
        <w:rPr>
          <w:rFonts w:ascii="Times New Roman" w:hAnsi="Times New Roman"/>
          <w:sz w:val="28"/>
          <w:szCs w:val="28"/>
        </w:rPr>
        <w:t xml:space="preserve"> </w:t>
      </w:r>
      <w:r w:rsidR="00AE6D11">
        <w:rPr>
          <w:rFonts w:ascii="Times New Roman" w:hAnsi="Times New Roman"/>
          <w:sz w:val="28"/>
          <w:szCs w:val="28"/>
        </w:rPr>
        <w:t xml:space="preserve">млн. 466 тыс. рублей) </w:t>
      </w:r>
      <w:r w:rsidRPr="009B2419">
        <w:rPr>
          <w:rFonts w:ascii="Times New Roman" w:hAnsi="Times New Roman"/>
          <w:sz w:val="28"/>
          <w:szCs w:val="28"/>
        </w:rPr>
        <w:t>бюджетов составля</w:t>
      </w:r>
      <w:r w:rsidR="00AE6D11">
        <w:rPr>
          <w:rFonts w:ascii="Times New Roman" w:hAnsi="Times New Roman"/>
          <w:sz w:val="28"/>
          <w:szCs w:val="28"/>
        </w:rPr>
        <w:t>ю</w:t>
      </w:r>
      <w:r w:rsidRPr="009B2419">
        <w:rPr>
          <w:rFonts w:ascii="Times New Roman" w:hAnsi="Times New Roman"/>
          <w:sz w:val="28"/>
          <w:szCs w:val="28"/>
        </w:rPr>
        <w:t xml:space="preserve">т </w:t>
      </w:r>
      <w:r w:rsidR="0035396D">
        <w:rPr>
          <w:rFonts w:ascii="Times New Roman" w:hAnsi="Times New Roman"/>
          <w:sz w:val="28"/>
          <w:szCs w:val="28"/>
        </w:rPr>
        <w:t>53</w:t>
      </w:r>
      <w:r w:rsidRPr="009B2419">
        <w:rPr>
          <w:rFonts w:ascii="Times New Roman" w:hAnsi="Times New Roman"/>
          <w:sz w:val="28"/>
          <w:szCs w:val="28"/>
        </w:rPr>
        <w:t>% от доходной части местного бюджета. Большая часть этих средств не предназначена для финансовой поддержки муниципального образования, а направляется на обеспечение переданных полномочий и реализацию федеральных и областных программ.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  Одной из главных задач администрации является качественное исполнение доходной части бюджета. В целях рационального использования бюджетных средств  проводятся мероприятия: экономия э/энергии, тепла, ГСМ, совместно с ФНС проведен мониторинг сведений о фактически уплаченных налогах, проведена работа с налогоплательщиками, снизившими уплату НДФЛ, земельному налогу.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    Расходные обязательства 20</w:t>
      </w:r>
      <w:r w:rsidR="0035396D">
        <w:rPr>
          <w:rFonts w:ascii="Times New Roman" w:hAnsi="Times New Roman"/>
          <w:sz w:val="28"/>
          <w:szCs w:val="28"/>
        </w:rPr>
        <w:t>20</w:t>
      </w:r>
      <w:r w:rsidRPr="009B2419">
        <w:rPr>
          <w:rFonts w:ascii="Times New Roman" w:hAnsi="Times New Roman"/>
          <w:sz w:val="28"/>
          <w:szCs w:val="28"/>
        </w:rPr>
        <w:t>г. и на плановый период 202</w:t>
      </w:r>
      <w:r w:rsidR="0035396D">
        <w:rPr>
          <w:rFonts w:ascii="Times New Roman" w:hAnsi="Times New Roman"/>
          <w:sz w:val="28"/>
          <w:szCs w:val="28"/>
        </w:rPr>
        <w:t>1</w:t>
      </w:r>
      <w:r w:rsidRPr="009B2419">
        <w:rPr>
          <w:rFonts w:ascii="Times New Roman" w:hAnsi="Times New Roman"/>
          <w:sz w:val="28"/>
          <w:szCs w:val="28"/>
        </w:rPr>
        <w:t xml:space="preserve">-2024 г. направлены на последовательное повышение уровня благосостояния </w:t>
      </w:r>
      <w:r w:rsidRPr="009B2419">
        <w:rPr>
          <w:rFonts w:ascii="Times New Roman" w:hAnsi="Times New Roman"/>
          <w:sz w:val="28"/>
          <w:szCs w:val="28"/>
        </w:rPr>
        <w:lastRenderedPageBreak/>
        <w:t>населения территории, увеличение финансирования социальных программ, поддержку отдельных отраслей экономики, повышение результативности бюджетных расходов и укрепление финансовой дисциплины при расходовании бюджетных средств.</w:t>
      </w:r>
    </w:p>
    <w:p w:rsidR="009B2419" w:rsidRPr="009B2419" w:rsidRDefault="009B2419" w:rsidP="00C16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19">
        <w:rPr>
          <w:rFonts w:ascii="Times New Roman" w:hAnsi="Times New Roman"/>
          <w:b/>
          <w:sz w:val="28"/>
          <w:szCs w:val="28"/>
        </w:rPr>
        <w:t>ЖИЗНЕННЫЙ  УРОВЕНЬ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  Прогноз денежных доходов и расходов населения на 20</w:t>
      </w:r>
      <w:r w:rsidR="00F31EB6">
        <w:rPr>
          <w:rFonts w:ascii="Times New Roman" w:hAnsi="Times New Roman"/>
          <w:sz w:val="28"/>
          <w:szCs w:val="28"/>
        </w:rPr>
        <w:t>20</w:t>
      </w:r>
      <w:r w:rsidRPr="009B2419">
        <w:rPr>
          <w:rFonts w:ascii="Times New Roman" w:hAnsi="Times New Roman"/>
          <w:sz w:val="28"/>
          <w:szCs w:val="28"/>
        </w:rPr>
        <w:t>-2024г разработан в соответствии со сценарными условиями развития области, рекомендациями Минэкономразвития.</w:t>
      </w:r>
    </w:p>
    <w:p w:rsidR="009B2419" w:rsidRPr="009B2419" w:rsidRDefault="009B2419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sz w:val="28"/>
          <w:szCs w:val="28"/>
        </w:rPr>
        <w:t xml:space="preserve">        Небольшой рост доходов населения в прогнозируемом периоде  обусловлен положительной  динамикой большинства показателей социально-экономического развития поселка, а также небольшим ростом реальной заработной платы. </w:t>
      </w:r>
    </w:p>
    <w:p w:rsidR="00F31EB6" w:rsidRPr="00C879A8" w:rsidRDefault="00F31EB6" w:rsidP="00F31EB6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В 2019 году продолжится повышение заработной платы отдельной категории работников бюджетной сферы: образование, здравоохранение,  культура, социальное обслуживание. Зарплаты остальной категории бюджетников проиндексированы с 1 октября 2019 года на 4,3 процента. </w:t>
      </w:r>
    </w:p>
    <w:p w:rsidR="00F31EB6" w:rsidRPr="00C879A8" w:rsidRDefault="00F31EB6" w:rsidP="00F31E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>В 2019 году среднемесячная  начисленная заработная плата одного работника по полному кругу предприятий, по оценке, составит 19546,0 рублей, или 104,5 процента к 2018 году.</w:t>
      </w:r>
    </w:p>
    <w:p w:rsidR="00F31EB6" w:rsidRPr="00C879A8" w:rsidRDefault="00F31EB6" w:rsidP="00F31E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>В среднесрочной перспективе рост заработной платы составит по базовому варианту прогноза: 2020 год – 106,5 процента, 2024 год – 107,5 процента. По консервативному варианту рост заработной платы в 2020 году составит 106,0 процентов, в 2024 году – 106,5 процента.</w:t>
      </w:r>
    </w:p>
    <w:p w:rsidR="00F31EB6" w:rsidRPr="00C879A8" w:rsidRDefault="00F31EB6" w:rsidP="00F31E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>Реальная заработная плата в 2019 году, по оценке, составит 99,5 процентов к 2018 году, в 2024 году по базовому варианту прогноза – 103,3 процента к 2024 году.</w:t>
      </w:r>
    </w:p>
    <w:p w:rsidR="00F31EB6" w:rsidRPr="00C879A8" w:rsidRDefault="00F31EB6" w:rsidP="00F31E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Реальные располагаемые денежные доходы населения в 2019 году оцениваются на уровне 98,8 процента. </w:t>
      </w:r>
    </w:p>
    <w:p w:rsidR="00F31EB6" w:rsidRPr="00C879A8" w:rsidRDefault="00F31EB6" w:rsidP="00F31E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 xml:space="preserve">В среднесрочной перспективе за счет устойчивого роста наиболее весомых доходных компонентов (оплата труда, пенсионное обеспечение, социальные выплаты) реальные располагаемые доходы населения  будут расти  на протяжении всего прогнозного периода. </w:t>
      </w:r>
    </w:p>
    <w:p w:rsidR="00F31EB6" w:rsidRPr="00C879A8" w:rsidRDefault="00F31EB6" w:rsidP="00F31E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9A8">
        <w:rPr>
          <w:rFonts w:ascii="Times New Roman" w:hAnsi="Times New Roman"/>
          <w:sz w:val="28"/>
          <w:szCs w:val="28"/>
        </w:rPr>
        <w:t>В 2024 году реальные располагаемые денежные доходы населения составят 101,4 процента и 101,9 процента по консервативному и базовому вариантам прогноза соответственно.</w:t>
      </w:r>
    </w:p>
    <w:p w:rsidR="00C221CD" w:rsidRPr="001B6244" w:rsidRDefault="00C221CD" w:rsidP="00C221CD">
      <w:pPr>
        <w:jc w:val="center"/>
        <w:rPr>
          <w:rFonts w:ascii="Times New Roman" w:hAnsi="Times New Roman"/>
          <w:b/>
          <w:sz w:val="28"/>
          <w:szCs w:val="28"/>
        </w:rPr>
      </w:pPr>
      <w:r w:rsidRPr="001B6244">
        <w:rPr>
          <w:rFonts w:ascii="Times New Roman" w:hAnsi="Times New Roman"/>
          <w:b/>
          <w:sz w:val="28"/>
          <w:szCs w:val="28"/>
        </w:rPr>
        <w:t>ДЕМОГРАФИЯ</w:t>
      </w:r>
    </w:p>
    <w:p w:rsidR="00C221CD" w:rsidRDefault="00C221CD" w:rsidP="00C221CD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244">
        <w:rPr>
          <w:rFonts w:ascii="Times New Roman" w:hAnsi="Times New Roman"/>
          <w:sz w:val="28"/>
          <w:szCs w:val="28"/>
        </w:rPr>
        <w:lastRenderedPageBreak/>
        <w:t xml:space="preserve">          В последние годы в поселке прослеживается тенденция к снижению численности населения.</w:t>
      </w:r>
      <w:r w:rsidRPr="001B6244">
        <w:rPr>
          <w:rFonts w:ascii="Times New Roman" w:hAnsi="Times New Roman"/>
          <w:b/>
          <w:sz w:val="28"/>
          <w:szCs w:val="28"/>
        </w:rPr>
        <w:t xml:space="preserve"> </w:t>
      </w:r>
      <w:r w:rsidRPr="001B6244">
        <w:rPr>
          <w:rFonts w:ascii="Times New Roman" w:hAnsi="Times New Roman"/>
          <w:sz w:val="28"/>
          <w:szCs w:val="28"/>
        </w:rPr>
        <w:t xml:space="preserve"> Численность населения </w:t>
      </w:r>
      <w:r>
        <w:rPr>
          <w:rFonts w:ascii="Times New Roman" w:hAnsi="Times New Roman"/>
          <w:sz w:val="28"/>
          <w:szCs w:val="28"/>
        </w:rPr>
        <w:t>поселка</w:t>
      </w:r>
      <w:r w:rsidRPr="001B6244">
        <w:rPr>
          <w:rFonts w:ascii="Times New Roman" w:hAnsi="Times New Roman"/>
          <w:sz w:val="28"/>
          <w:szCs w:val="28"/>
        </w:rPr>
        <w:t xml:space="preserve"> на 1 января 201</w:t>
      </w:r>
      <w:r>
        <w:rPr>
          <w:rFonts w:ascii="Times New Roman" w:hAnsi="Times New Roman"/>
          <w:sz w:val="28"/>
          <w:szCs w:val="28"/>
        </w:rPr>
        <w:t>9</w:t>
      </w:r>
      <w:r w:rsidRPr="001B6244">
        <w:rPr>
          <w:rFonts w:ascii="Times New Roman" w:hAnsi="Times New Roman"/>
          <w:sz w:val="28"/>
          <w:szCs w:val="28"/>
        </w:rPr>
        <w:t xml:space="preserve"> года   составила 17,</w:t>
      </w:r>
      <w:r>
        <w:rPr>
          <w:rFonts w:ascii="Times New Roman" w:hAnsi="Times New Roman"/>
          <w:sz w:val="28"/>
          <w:szCs w:val="28"/>
        </w:rPr>
        <w:t>1</w:t>
      </w:r>
      <w:r w:rsidRPr="001B6244">
        <w:rPr>
          <w:rFonts w:ascii="Times New Roman" w:hAnsi="Times New Roman"/>
          <w:sz w:val="28"/>
          <w:szCs w:val="28"/>
        </w:rPr>
        <w:t xml:space="preserve"> тыс. чел, или снизилась к уровню предыдущего года.</w:t>
      </w:r>
    </w:p>
    <w:p w:rsidR="00C221CD" w:rsidRPr="001B6244" w:rsidRDefault="00C221CD" w:rsidP="00C2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221CD">
        <w:rPr>
          <w:rFonts w:ascii="Times New Roman" w:eastAsia="Calibri" w:hAnsi="Times New Roman"/>
          <w:sz w:val="28"/>
          <w:szCs w:val="28"/>
        </w:rPr>
        <w:t xml:space="preserve">Возрастно-половая структура населения  района  характеризуется процессом демографического старения. </w:t>
      </w:r>
    </w:p>
    <w:p w:rsidR="00C221CD" w:rsidRPr="001B6244" w:rsidRDefault="00C221CD" w:rsidP="00C221CD">
      <w:pPr>
        <w:pStyle w:val="aa"/>
        <w:jc w:val="both"/>
        <w:rPr>
          <w:b w:val="0"/>
          <w:sz w:val="28"/>
          <w:szCs w:val="28"/>
        </w:rPr>
      </w:pPr>
      <w:r w:rsidRPr="001B6244">
        <w:rPr>
          <w:b w:val="0"/>
          <w:sz w:val="28"/>
          <w:szCs w:val="28"/>
        </w:rPr>
        <w:t xml:space="preserve">          На снижение численности оказали влияние, как  миграционный отток населения, так и естественная убыль населения. В текущем году такая же тенденция сохраняется.</w:t>
      </w:r>
    </w:p>
    <w:p w:rsidR="00C221CD" w:rsidRPr="001B6244" w:rsidRDefault="00C221CD" w:rsidP="00C221CD">
      <w:pPr>
        <w:pStyle w:val="aa"/>
        <w:jc w:val="both"/>
        <w:rPr>
          <w:b w:val="0"/>
          <w:sz w:val="28"/>
          <w:szCs w:val="28"/>
        </w:rPr>
      </w:pPr>
      <w:r w:rsidRPr="001B6244">
        <w:rPr>
          <w:b w:val="0"/>
          <w:sz w:val="28"/>
          <w:szCs w:val="28"/>
        </w:rPr>
        <w:t xml:space="preserve">           Демографическая политика  в прогнозируемом периоде будет зависеть от мер, принимаемых Правительством РФ  по улучшению демографической ситуации и в целом от  поступательного развития экономики. </w:t>
      </w:r>
    </w:p>
    <w:p w:rsidR="00C221CD" w:rsidRPr="001B6244" w:rsidRDefault="00C221CD" w:rsidP="00C221CD">
      <w:pPr>
        <w:pStyle w:val="aa"/>
        <w:jc w:val="both"/>
        <w:rPr>
          <w:b w:val="0"/>
          <w:sz w:val="28"/>
          <w:szCs w:val="28"/>
        </w:rPr>
      </w:pPr>
      <w:r w:rsidRPr="001B6244">
        <w:rPr>
          <w:b w:val="0"/>
          <w:sz w:val="28"/>
          <w:szCs w:val="28"/>
        </w:rPr>
        <w:t xml:space="preserve">          В 2019г. численность населения поселка сохранится на уровне текущего года. В 2020-2024гг.  прогнозируется   рост численности населения за счет миграционного притока населения.</w:t>
      </w:r>
    </w:p>
    <w:p w:rsidR="00C221CD" w:rsidRPr="009B2419" w:rsidRDefault="00C221CD" w:rsidP="00C16C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419" w:rsidRPr="009B2419" w:rsidRDefault="009B2419" w:rsidP="00C16C4C">
      <w:pPr>
        <w:shd w:val="clear" w:color="auto" w:fill="FFFFFF"/>
        <w:spacing w:line="240" w:lineRule="auto"/>
        <w:jc w:val="center"/>
        <w:rPr>
          <w:rFonts w:ascii="Times New Roman" w:hAnsi="Times New Roman"/>
          <w:spacing w:val="-4"/>
          <w:sz w:val="28"/>
          <w:szCs w:val="28"/>
          <w:highlight w:val="yellow"/>
        </w:rPr>
      </w:pPr>
      <w:r w:rsidRPr="009B2419">
        <w:rPr>
          <w:rFonts w:ascii="Times New Roman" w:hAnsi="Times New Roman"/>
          <w:b/>
          <w:sz w:val="28"/>
          <w:szCs w:val="28"/>
        </w:rPr>
        <w:t>ТУРИЗМ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Состояние туристско-рекреационной сферы муниципального образования: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-туристические  фирмы отсутствуют;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-санатории отсутствуют;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-дома отдыха отсутствуют;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-турбазы отсутствуют.</w:t>
      </w:r>
    </w:p>
    <w:p w:rsidR="00F31EB6" w:rsidRPr="009B2419" w:rsidRDefault="00F31EB6" w:rsidP="00F31EB6">
      <w:pPr>
        <w:shd w:val="clear" w:color="auto" w:fill="FFFFFF"/>
        <w:spacing w:line="240" w:lineRule="auto"/>
        <w:ind w:left="62" w:firstLine="658"/>
        <w:jc w:val="both"/>
        <w:rPr>
          <w:rFonts w:ascii="Times New Roman" w:hAnsi="Times New Roman"/>
          <w:sz w:val="28"/>
          <w:szCs w:val="28"/>
        </w:rPr>
      </w:pPr>
      <w:r w:rsidRPr="009B2419">
        <w:rPr>
          <w:rFonts w:ascii="Times New Roman" w:hAnsi="Times New Roman"/>
          <w:color w:val="303030"/>
          <w:spacing w:val="1"/>
          <w:sz w:val="28"/>
          <w:szCs w:val="28"/>
        </w:rPr>
        <w:t>Наиболее популярные объекты туризма, расположенные в поселке, представлены в туристическом паспорте региона.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 xml:space="preserve">Это районный краеведческий музей, Свято-Троицкая Симеонова Обитель Милосердия п.Саракташ Оренбургской области Оренбургской и Бузулукской Епархии Русской Православной Церкви (Московский Патриархат), а также объекты экономического, лечебно-оздоровительного туризма, объекты спортивного, приключенческого туризма, охоты, рыбной ловли. 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 xml:space="preserve">  Особую привлекательность для них представляют: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 xml:space="preserve">  -Свято-Троицкая Симеонова Обитель Милосердия п.Саракташ  Оренбургской и Бузулукской епархии РПЦ, основанная в 1990 году. В настоящее время при Обители действуют Дом Милосердия, Православная гимназия, воскресная школа; образованы сестричество, община монашествующих, имеются швейная мастерская, пекарня, небольшое подсобное хозяйство;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- ООО «Красная гора» - место съемок кинофильма «Русский бунт»4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lastRenderedPageBreak/>
        <w:t xml:space="preserve">Развита инфраструктура. В </w:t>
      </w:r>
      <w:r>
        <w:rPr>
          <w:rFonts w:ascii="Times New Roman" w:hAnsi="Times New Roman"/>
          <w:sz w:val="28"/>
          <w:szCs w:val="28"/>
        </w:rPr>
        <w:t>поселке</w:t>
      </w:r>
      <w:r w:rsidRPr="00F31EB6">
        <w:rPr>
          <w:rFonts w:ascii="Times New Roman" w:hAnsi="Times New Roman"/>
          <w:sz w:val="28"/>
          <w:szCs w:val="28"/>
        </w:rPr>
        <w:t xml:space="preserve"> функционируют 3 гостиницы («Красная гора», «Саракташ», «Николь») на 80мест, 16 предприятий общественного питания </w:t>
      </w:r>
      <w:r>
        <w:rPr>
          <w:rFonts w:ascii="Times New Roman" w:hAnsi="Times New Roman"/>
          <w:sz w:val="28"/>
          <w:szCs w:val="28"/>
        </w:rPr>
        <w:t>(</w:t>
      </w:r>
      <w:r w:rsidRPr="00F31EB6">
        <w:rPr>
          <w:rFonts w:ascii="Times New Roman" w:hAnsi="Times New Roman"/>
          <w:sz w:val="28"/>
          <w:szCs w:val="28"/>
        </w:rPr>
        <w:t>кафе, рестораны) на 1285мест.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 xml:space="preserve">-горнолыжные базы и пляжи в </w:t>
      </w:r>
      <w:r>
        <w:rPr>
          <w:rFonts w:ascii="Times New Roman" w:hAnsi="Times New Roman"/>
          <w:sz w:val="28"/>
          <w:szCs w:val="28"/>
        </w:rPr>
        <w:t>поселке</w:t>
      </w:r>
      <w:r w:rsidRPr="00F31EB6">
        <w:rPr>
          <w:rFonts w:ascii="Times New Roman" w:hAnsi="Times New Roman"/>
          <w:sz w:val="28"/>
          <w:szCs w:val="28"/>
        </w:rPr>
        <w:t xml:space="preserve"> отсутствуют;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>-поисково-спасательные станции отсутствуют;</w:t>
      </w:r>
    </w:p>
    <w:p w:rsidR="00F31EB6" w:rsidRPr="00F31EB6" w:rsidRDefault="00F31EB6" w:rsidP="00F31EB6">
      <w:pPr>
        <w:jc w:val="both"/>
        <w:rPr>
          <w:rFonts w:ascii="Times New Roman" w:hAnsi="Times New Roman"/>
          <w:sz w:val="28"/>
          <w:szCs w:val="28"/>
        </w:rPr>
      </w:pPr>
      <w:r w:rsidRPr="00F31EB6">
        <w:rPr>
          <w:rFonts w:ascii="Times New Roman" w:hAnsi="Times New Roman"/>
          <w:sz w:val="28"/>
          <w:szCs w:val="28"/>
        </w:rPr>
        <w:t xml:space="preserve">-в </w:t>
      </w:r>
      <w:r>
        <w:rPr>
          <w:rFonts w:ascii="Times New Roman" w:hAnsi="Times New Roman"/>
          <w:sz w:val="28"/>
          <w:szCs w:val="28"/>
        </w:rPr>
        <w:t>поселке</w:t>
      </w:r>
      <w:r w:rsidRPr="00F31EB6">
        <w:rPr>
          <w:rFonts w:ascii="Times New Roman" w:hAnsi="Times New Roman"/>
          <w:sz w:val="28"/>
          <w:szCs w:val="28"/>
        </w:rPr>
        <w:t xml:space="preserve"> развито пуховязание.</w:t>
      </w:r>
    </w:p>
    <w:p w:rsidR="001B6244" w:rsidRDefault="001B6244" w:rsidP="00C16C4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1B6244" w:rsidRPr="001B6244" w:rsidRDefault="001B6244" w:rsidP="00C16C4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данных социально-экономич</w:t>
      </w:r>
      <w:r w:rsidR="00C16C4C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кого прогноза прослеживается положительная динамика развития экономики и социальной сферы на финансовый год и плановый период до 2024 года.</w:t>
      </w:r>
    </w:p>
    <w:p w:rsidR="001B6244" w:rsidRPr="001B6244" w:rsidRDefault="001B6244" w:rsidP="00C16C4C">
      <w:pPr>
        <w:shd w:val="clear" w:color="auto" w:fill="FFFFFF"/>
        <w:spacing w:line="240" w:lineRule="auto"/>
        <w:ind w:left="62"/>
        <w:jc w:val="both"/>
        <w:rPr>
          <w:rFonts w:ascii="Times New Roman" w:hAnsi="Times New Roman"/>
          <w:color w:val="303030"/>
          <w:spacing w:val="-4"/>
          <w:sz w:val="28"/>
          <w:szCs w:val="28"/>
          <w:highlight w:val="yellow"/>
        </w:rPr>
      </w:pPr>
    </w:p>
    <w:p w:rsidR="001B6244" w:rsidRPr="001B6244" w:rsidRDefault="001B6244" w:rsidP="00C16C4C">
      <w:pPr>
        <w:shd w:val="clear" w:color="auto" w:fill="FFFFFF"/>
        <w:spacing w:before="346" w:line="240" w:lineRule="auto"/>
        <w:ind w:left="86" w:firstLine="634"/>
        <w:jc w:val="both"/>
        <w:rPr>
          <w:rFonts w:ascii="Times New Roman" w:hAnsi="Times New Roman"/>
          <w:sz w:val="28"/>
          <w:szCs w:val="28"/>
        </w:rPr>
      </w:pPr>
    </w:p>
    <w:p w:rsidR="001B6244" w:rsidRPr="0023723D" w:rsidRDefault="001B6244" w:rsidP="00B56F09">
      <w:pPr>
        <w:shd w:val="clear" w:color="auto" w:fill="FFFFFF"/>
        <w:spacing w:before="100" w:beforeAutospacing="1" w:after="199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B6244" w:rsidRPr="0023723D" w:rsidSect="006C093F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85" w:rsidRDefault="00D37485" w:rsidP="00A4279F">
      <w:pPr>
        <w:spacing w:after="0" w:line="240" w:lineRule="auto"/>
      </w:pPr>
      <w:r>
        <w:separator/>
      </w:r>
    </w:p>
  </w:endnote>
  <w:endnote w:type="continuationSeparator" w:id="0">
    <w:p w:rsidR="00D37485" w:rsidRDefault="00D37485" w:rsidP="00A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85" w:rsidRDefault="00D37485" w:rsidP="00A4279F">
      <w:pPr>
        <w:spacing w:after="0" w:line="240" w:lineRule="auto"/>
      </w:pPr>
      <w:r>
        <w:separator/>
      </w:r>
    </w:p>
  </w:footnote>
  <w:footnote w:type="continuationSeparator" w:id="0">
    <w:p w:rsidR="00D37485" w:rsidRDefault="00D37485" w:rsidP="00A4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0"/>
    <w:rsid w:val="0005472D"/>
    <w:rsid w:val="000964BC"/>
    <w:rsid w:val="000D30B4"/>
    <w:rsid w:val="000F2675"/>
    <w:rsid w:val="00103237"/>
    <w:rsid w:val="00152555"/>
    <w:rsid w:val="00153814"/>
    <w:rsid w:val="00165929"/>
    <w:rsid w:val="00195C90"/>
    <w:rsid w:val="001B6244"/>
    <w:rsid w:val="00221342"/>
    <w:rsid w:val="00226A08"/>
    <w:rsid w:val="00231247"/>
    <w:rsid w:val="0023723D"/>
    <w:rsid w:val="0024124E"/>
    <w:rsid w:val="00256549"/>
    <w:rsid w:val="00270505"/>
    <w:rsid w:val="00273CA0"/>
    <w:rsid w:val="002757C2"/>
    <w:rsid w:val="002A67E3"/>
    <w:rsid w:val="002C0C0B"/>
    <w:rsid w:val="003268D0"/>
    <w:rsid w:val="003270A9"/>
    <w:rsid w:val="00331BDE"/>
    <w:rsid w:val="003353FF"/>
    <w:rsid w:val="00352691"/>
    <w:rsid w:val="0035396D"/>
    <w:rsid w:val="00372A24"/>
    <w:rsid w:val="003C0CE9"/>
    <w:rsid w:val="003E307F"/>
    <w:rsid w:val="003E5FE9"/>
    <w:rsid w:val="004348F7"/>
    <w:rsid w:val="00444D61"/>
    <w:rsid w:val="0045331B"/>
    <w:rsid w:val="00511816"/>
    <w:rsid w:val="005173C6"/>
    <w:rsid w:val="00535008"/>
    <w:rsid w:val="0056644C"/>
    <w:rsid w:val="00580D7C"/>
    <w:rsid w:val="005B0C46"/>
    <w:rsid w:val="005B240B"/>
    <w:rsid w:val="005C15CE"/>
    <w:rsid w:val="005C6A74"/>
    <w:rsid w:val="005E7FCD"/>
    <w:rsid w:val="00607EDF"/>
    <w:rsid w:val="006250CD"/>
    <w:rsid w:val="00637FDC"/>
    <w:rsid w:val="006523EC"/>
    <w:rsid w:val="00696CD7"/>
    <w:rsid w:val="006A34FE"/>
    <w:rsid w:val="006A4854"/>
    <w:rsid w:val="006B754A"/>
    <w:rsid w:val="006C093F"/>
    <w:rsid w:val="006D2D45"/>
    <w:rsid w:val="00710B24"/>
    <w:rsid w:val="00713FC3"/>
    <w:rsid w:val="00714F61"/>
    <w:rsid w:val="007150C5"/>
    <w:rsid w:val="00724481"/>
    <w:rsid w:val="00740612"/>
    <w:rsid w:val="00772F9B"/>
    <w:rsid w:val="00787639"/>
    <w:rsid w:val="007B2024"/>
    <w:rsid w:val="007B7EE9"/>
    <w:rsid w:val="007D0E67"/>
    <w:rsid w:val="007E2F73"/>
    <w:rsid w:val="007F65B5"/>
    <w:rsid w:val="00816603"/>
    <w:rsid w:val="00823495"/>
    <w:rsid w:val="00845367"/>
    <w:rsid w:val="00847E2A"/>
    <w:rsid w:val="00851C41"/>
    <w:rsid w:val="00853CD3"/>
    <w:rsid w:val="008544B3"/>
    <w:rsid w:val="00863B2D"/>
    <w:rsid w:val="0086669F"/>
    <w:rsid w:val="008711F7"/>
    <w:rsid w:val="008744D8"/>
    <w:rsid w:val="00885A9E"/>
    <w:rsid w:val="008A3CC0"/>
    <w:rsid w:val="008A684E"/>
    <w:rsid w:val="008B5DE1"/>
    <w:rsid w:val="008F09DA"/>
    <w:rsid w:val="00923E73"/>
    <w:rsid w:val="009901E0"/>
    <w:rsid w:val="009B2419"/>
    <w:rsid w:val="009D2972"/>
    <w:rsid w:val="009E09EE"/>
    <w:rsid w:val="009E561B"/>
    <w:rsid w:val="009E5CDB"/>
    <w:rsid w:val="00A16617"/>
    <w:rsid w:val="00A2265C"/>
    <w:rsid w:val="00A4279F"/>
    <w:rsid w:val="00A57D1D"/>
    <w:rsid w:val="00A9172E"/>
    <w:rsid w:val="00AA3BBE"/>
    <w:rsid w:val="00AE3E40"/>
    <w:rsid w:val="00AE6D11"/>
    <w:rsid w:val="00AF5938"/>
    <w:rsid w:val="00B322D0"/>
    <w:rsid w:val="00B33831"/>
    <w:rsid w:val="00B42959"/>
    <w:rsid w:val="00B53733"/>
    <w:rsid w:val="00B56F09"/>
    <w:rsid w:val="00B7437F"/>
    <w:rsid w:val="00C16C4C"/>
    <w:rsid w:val="00C221CD"/>
    <w:rsid w:val="00C352DE"/>
    <w:rsid w:val="00C6158E"/>
    <w:rsid w:val="00C879A8"/>
    <w:rsid w:val="00CC39F4"/>
    <w:rsid w:val="00CC7727"/>
    <w:rsid w:val="00CE56C7"/>
    <w:rsid w:val="00CF1DA6"/>
    <w:rsid w:val="00D0035D"/>
    <w:rsid w:val="00D17C0C"/>
    <w:rsid w:val="00D21834"/>
    <w:rsid w:val="00D21DF0"/>
    <w:rsid w:val="00D37485"/>
    <w:rsid w:val="00D4445A"/>
    <w:rsid w:val="00DA3F0E"/>
    <w:rsid w:val="00DB59AE"/>
    <w:rsid w:val="00DD6E87"/>
    <w:rsid w:val="00DF1C35"/>
    <w:rsid w:val="00E152AA"/>
    <w:rsid w:val="00E15DBA"/>
    <w:rsid w:val="00E21130"/>
    <w:rsid w:val="00E2781B"/>
    <w:rsid w:val="00E468C0"/>
    <w:rsid w:val="00EB06F7"/>
    <w:rsid w:val="00ED0059"/>
    <w:rsid w:val="00F319D6"/>
    <w:rsid w:val="00F31EB6"/>
    <w:rsid w:val="00F370AE"/>
    <w:rsid w:val="00F46ECB"/>
    <w:rsid w:val="00F476C4"/>
    <w:rsid w:val="00F63AEB"/>
    <w:rsid w:val="00F67633"/>
    <w:rsid w:val="00FA1CEF"/>
    <w:rsid w:val="00FD1336"/>
    <w:rsid w:val="00FE71BE"/>
    <w:rsid w:val="00FF0F64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814B61C-13BA-4FD9-A529-0A0DCE72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A4279F"/>
    <w:rPr>
      <w:rFonts w:cs="Times New Roman"/>
    </w:rPr>
  </w:style>
  <w:style w:type="paragraph" w:styleId="a5">
    <w:name w:val="footer"/>
    <w:basedOn w:val="a"/>
    <w:link w:val="a6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A4279F"/>
    <w:rPr>
      <w:rFonts w:cs="Times New Roman"/>
    </w:rPr>
  </w:style>
  <w:style w:type="table" w:styleId="a7">
    <w:name w:val="Table Grid"/>
    <w:basedOn w:val="a1"/>
    <w:locked/>
    <w:rsid w:val="00FE71B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51C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8744D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8744D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Cell">
    <w:name w:val="ConsPlusCell"/>
    <w:rsid w:val="0051181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Web">
    <w:name w:val="Обычный (Web)"/>
    <w:basedOn w:val="a"/>
    <w:rsid w:val="007B2024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63B2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3B2D"/>
    <w:rPr>
      <w:rFonts w:ascii="Times New Roman" w:eastAsia="Times New Roman" w:hAnsi="Times New Roman"/>
      <w:sz w:val="16"/>
      <w:szCs w:val="16"/>
    </w:rPr>
  </w:style>
  <w:style w:type="paragraph" w:styleId="aa">
    <w:name w:val="Title"/>
    <w:basedOn w:val="a"/>
    <w:link w:val="ab"/>
    <w:qFormat/>
    <w:locked/>
    <w:rsid w:val="0023723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23723D"/>
    <w:rPr>
      <w:rFonts w:ascii="Times New Roman" w:eastAsia="Times New Roman" w:hAnsi="Times New Roman"/>
      <w:b/>
      <w:sz w:val="32"/>
    </w:rPr>
  </w:style>
  <w:style w:type="paragraph" w:styleId="ac">
    <w:name w:val="Body Text"/>
    <w:basedOn w:val="a"/>
    <w:link w:val="ad"/>
    <w:rsid w:val="001B6244"/>
    <w:pPr>
      <w:spacing w:after="120"/>
    </w:pPr>
  </w:style>
  <w:style w:type="character" w:customStyle="1" w:styleId="ad">
    <w:name w:val="Основной текст Знак"/>
    <w:basedOn w:val="a0"/>
    <w:link w:val="ac"/>
    <w:rsid w:val="001B6244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1B62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6244"/>
    <w:rPr>
      <w:rFonts w:eastAsia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rsid w:val="001B62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6244"/>
    <w:rPr>
      <w:rFonts w:eastAsia="Times New Roman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rsid w:val="001B624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B62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1B624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styleId="af0">
    <w:name w:val="Hyperlink"/>
    <w:basedOn w:val="a0"/>
    <w:rsid w:val="001B6244"/>
    <w:rPr>
      <w:rFonts w:ascii="Arial" w:hAnsi="Arial" w:cs="Arial" w:hint="default"/>
      <w:b/>
      <w:bCs/>
      <w:i w:val="0"/>
      <w:iCs w:val="0"/>
      <w:strike w:val="0"/>
      <w:dstrike w:val="0"/>
      <w:color w:val="033E7A"/>
      <w:u w:val="none"/>
      <w:effect w:val="none"/>
    </w:rPr>
  </w:style>
  <w:style w:type="character" w:styleId="af1">
    <w:name w:val="Strong"/>
    <w:basedOn w:val="a0"/>
    <w:qFormat/>
    <w:locked/>
    <w:rsid w:val="001B6244"/>
    <w:rPr>
      <w:b/>
      <w:bCs/>
    </w:rPr>
  </w:style>
  <w:style w:type="paragraph" w:customStyle="1" w:styleId="Default">
    <w:name w:val="Default"/>
    <w:rsid w:val="001B62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aliases w:val="с интервалом"/>
    <w:basedOn w:val="a"/>
    <w:qFormat/>
    <w:rsid w:val="00C221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+ Не полужирный"/>
    <w:aliases w:val="Интервал 0 pt,Основной текст + 11 pt"/>
    <w:rsid w:val="008B5DE1"/>
    <w:rPr>
      <w:b/>
      <w:bCs/>
      <w:spacing w:val="2"/>
      <w:lang w:bidi="ar-SA"/>
    </w:rPr>
  </w:style>
  <w:style w:type="paragraph" w:customStyle="1" w:styleId="TableContents">
    <w:name w:val="Table Contents"/>
    <w:basedOn w:val="a"/>
    <w:rsid w:val="008B5DE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af3">
    <w:name w:val="Нормальный (таблица)"/>
    <w:basedOn w:val="a"/>
    <w:next w:val="a"/>
    <w:rsid w:val="008B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10">
    <w:name w:val="Абзац списка1"/>
    <w:basedOn w:val="a"/>
    <w:link w:val="ListParagraphChar"/>
    <w:rsid w:val="00CF1DA6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10"/>
    <w:locked/>
    <w:rsid w:val="00CF1DA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003B72ACDB202BCBFCD23D1F50DB922DE8C605C1C55C3EA19D09DCBCE27C1E38AED3BEC9A656CDE2A18457BA20A3169B2D9F13CB25C8Ad1X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591E-C5FC-4956-B720-2CCF519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25771</CharactersWithSpaces>
  <SharedDoc>false</SharedDoc>
  <HLinks>
    <vt:vector size="6" baseType="variant"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consultantplus://offline/ref=5E3003B72ACDB202BCBFCD23D1F50DB922DE8C605C1C55C3EA19D09DCBCE27C1E38AED3BEC9A656CDE2A18457BA20A3169B2D9F13CB25C8Ad1X7F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Пользователь Windows</cp:lastModifiedBy>
  <cp:revision>2</cp:revision>
  <cp:lastPrinted>2019-11-29T09:36:00Z</cp:lastPrinted>
  <dcterms:created xsi:type="dcterms:W3CDTF">2020-02-26T20:59:00Z</dcterms:created>
  <dcterms:modified xsi:type="dcterms:W3CDTF">2020-02-26T20:59:00Z</dcterms:modified>
</cp:coreProperties>
</file>